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4596" w:type="dxa"/>
        <w:tblLook w:val="04A0" w:firstRow="1" w:lastRow="0" w:firstColumn="1" w:lastColumn="0" w:noHBand="0" w:noVBand="1"/>
      </w:tblPr>
      <w:tblGrid>
        <w:gridCol w:w="3664"/>
        <w:gridCol w:w="1356"/>
        <w:gridCol w:w="9576"/>
      </w:tblGrid>
      <w:tr w:rsidR="00CD03B4" w:rsidRPr="00056B04" w14:paraId="03AE7E19" w14:textId="77777777" w:rsidTr="00491A7A">
        <w:tc>
          <w:tcPr>
            <w:tcW w:w="3664" w:type="dxa"/>
            <w:shd w:val="clear" w:color="auto" w:fill="BFBFBF" w:themeFill="background1" w:themeFillShade="BF"/>
          </w:tcPr>
          <w:p w14:paraId="5DDC50FB" w14:textId="77777777" w:rsidR="00CD03B4" w:rsidRPr="00056B04" w:rsidRDefault="00CD03B4" w:rsidP="00491A7A">
            <w:pPr>
              <w:jc w:val="both"/>
              <w:rPr>
                <w:rFonts w:ascii="Arial" w:hAnsi="Arial" w:cs="Arial"/>
                <w:b/>
                <w:bCs/>
                <w:sz w:val="22"/>
                <w:szCs w:val="22"/>
              </w:rPr>
            </w:pPr>
            <w:r w:rsidRPr="00056B04">
              <w:rPr>
                <w:rFonts w:ascii="Arial" w:hAnsi="Arial" w:cs="Arial"/>
                <w:b/>
                <w:bCs/>
                <w:sz w:val="22"/>
                <w:szCs w:val="22"/>
              </w:rPr>
              <w:t>Aspecto</w:t>
            </w:r>
          </w:p>
        </w:tc>
        <w:tc>
          <w:tcPr>
            <w:tcW w:w="10932" w:type="dxa"/>
            <w:gridSpan w:val="2"/>
            <w:shd w:val="clear" w:color="auto" w:fill="BFBFBF" w:themeFill="background1" w:themeFillShade="BF"/>
          </w:tcPr>
          <w:p w14:paraId="681B8AF3" w14:textId="77777777" w:rsidR="00CD03B4" w:rsidRPr="00056B04" w:rsidRDefault="00CD03B4" w:rsidP="00491A7A">
            <w:pPr>
              <w:spacing w:after="160"/>
              <w:jc w:val="both"/>
              <w:rPr>
                <w:rFonts w:ascii="Arial" w:hAnsi="Arial" w:cs="Arial"/>
                <w:b/>
                <w:bCs/>
                <w:sz w:val="22"/>
                <w:szCs w:val="22"/>
              </w:rPr>
            </w:pPr>
            <w:r>
              <w:t>25000-23-37-000-2017-00695-01 (26104</w:t>
            </w:r>
            <w:proofErr w:type="gramStart"/>
            <w:r>
              <w:t>)  CI</w:t>
            </w:r>
            <w:proofErr w:type="gramEnd"/>
            <w:r>
              <w:t xml:space="preserve"> </w:t>
            </w:r>
            <w:proofErr w:type="spellStart"/>
            <w:r>
              <w:t>Interamerican</w:t>
            </w:r>
            <w:proofErr w:type="spellEnd"/>
            <w:r>
              <w:t xml:space="preserve"> Conminas SAS</w:t>
            </w:r>
          </w:p>
        </w:tc>
      </w:tr>
      <w:tr w:rsidR="00CD03B4" w:rsidRPr="00056B04" w14:paraId="5A7AEB12" w14:textId="77777777" w:rsidTr="00491A7A">
        <w:tc>
          <w:tcPr>
            <w:tcW w:w="3664" w:type="dxa"/>
          </w:tcPr>
          <w:p w14:paraId="5828352F"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País</w:t>
            </w:r>
          </w:p>
        </w:tc>
        <w:tc>
          <w:tcPr>
            <w:tcW w:w="10932" w:type="dxa"/>
            <w:gridSpan w:val="2"/>
          </w:tcPr>
          <w:p w14:paraId="198D3D72" w14:textId="77777777" w:rsidR="00CD03B4" w:rsidRPr="00056B04" w:rsidRDefault="00CD03B4" w:rsidP="00491A7A">
            <w:pPr>
              <w:jc w:val="both"/>
              <w:rPr>
                <w:rFonts w:ascii="Arial" w:hAnsi="Arial" w:cs="Arial"/>
                <w:sz w:val="22"/>
                <w:szCs w:val="22"/>
              </w:rPr>
            </w:pPr>
            <w:r>
              <w:rPr>
                <w:rFonts w:ascii="Arial" w:hAnsi="Arial" w:cs="Arial"/>
                <w:sz w:val="22"/>
                <w:szCs w:val="22"/>
              </w:rPr>
              <w:t>Colombia</w:t>
            </w:r>
          </w:p>
        </w:tc>
      </w:tr>
      <w:tr w:rsidR="00CD03B4" w:rsidRPr="00056B04" w14:paraId="0A59929B" w14:textId="77777777" w:rsidTr="00491A7A">
        <w:tc>
          <w:tcPr>
            <w:tcW w:w="3664" w:type="dxa"/>
            <w:vMerge w:val="restart"/>
          </w:tcPr>
          <w:p w14:paraId="3898F545"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Tipo de renta</w:t>
            </w:r>
          </w:p>
        </w:tc>
        <w:sdt>
          <w:sdtPr>
            <w:rPr>
              <w:rFonts w:ascii="Arial" w:hAnsi="Arial" w:cs="Arial"/>
              <w:sz w:val="22"/>
              <w:szCs w:val="22"/>
            </w:rPr>
            <w:alias w:val="Tipo de renta/transacción"/>
            <w:tag w:val="Tipo de renta/transacción"/>
            <w:id w:val="-397201818"/>
            <w:placeholder>
              <w:docPart w:val="BC5BDA1514BB4D619AD52CE1F0761F8D"/>
            </w:placeholder>
            <w:dropDownList>
              <w:listItem w:displayText="Selección" w:value="Selección"/>
              <w:listItem w:displayText="Intereses" w:value="Intereses"/>
              <w:listItem w:displayText="Dividendos" w:value="Dividendos"/>
              <w:listItem w:displayText="Regalías" w:value="Regalías"/>
              <w:listItem w:displayText="Otras ganancias de capital" w:value="Otras ganancias de capital"/>
              <w:listItem w:displayText="Tipo de renta en discusión" w:value="Tipo de renta en discusión"/>
            </w:dropDownList>
          </w:sdtPr>
          <w:sdtEndPr/>
          <w:sdtContent>
            <w:tc>
              <w:tcPr>
                <w:tcW w:w="10932" w:type="dxa"/>
                <w:gridSpan w:val="2"/>
              </w:tcPr>
              <w:p w14:paraId="5F0628D6"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Selección</w:t>
                </w:r>
              </w:p>
            </w:tc>
          </w:sdtContent>
        </w:sdt>
      </w:tr>
      <w:tr w:rsidR="00CD03B4" w:rsidRPr="00056B04" w14:paraId="01719976" w14:textId="77777777" w:rsidTr="00491A7A">
        <w:tc>
          <w:tcPr>
            <w:tcW w:w="3664" w:type="dxa"/>
            <w:vMerge/>
          </w:tcPr>
          <w:p w14:paraId="2959F743" w14:textId="77777777" w:rsidR="00CD03B4" w:rsidRPr="00056B04" w:rsidRDefault="00CD03B4" w:rsidP="00491A7A">
            <w:pPr>
              <w:jc w:val="both"/>
              <w:rPr>
                <w:rFonts w:ascii="Arial" w:hAnsi="Arial" w:cs="Arial"/>
                <w:sz w:val="22"/>
                <w:szCs w:val="22"/>
              </w:rPr>
            </w:pPr>
          </w:p>
        </w:tc>
        <w:tc>
          <w:tcPr>
            <w:tcW w:w="10932" w:type="dxa"/>
            <w:gridSpan w:val="2"/>
          </w:tcPr>
          <w:p w14:paraId="7B6F8C98" w14:textId="77777777" w:rsidR="00CD03B4" w:rsidRPr="00056B04" w:rsidRDefault="00CD03B4" w:rsidP="00491A7A">
            <w:pPr>
              <w:spacing w:after="160"/>
              <w:jc w:val="both"/>
              <w:rPr>
                <w:rFonts w:ascii="Arial" w:hAnsi="Arial" w:cs="Arial"/>
                <w:sz w:val="22"/>
                <w:szCs w:val="22"/>
              </w:rPr>
            </w:pPr>
            <w:proofErr w:type="gramStart"/>
            <w:r w:rsidRPr="00056B04">
              <w:rPr>
                <w:rFonts w:ascii="Arial" w:hAnsi="Arial" w:cs="Arial"/>
                <w:sz w:val="22"/>
                <w:szCs w:val="22"/>
              </w:rPr>
              <w:t>Otros</w:t>
            </w:r>
            <w:r>
              <w:rPr>
                <w:rFonts w:ascii="Arial" w:hAnsi="Arial" w:cs="Arial"/>
                <w:sz w:val="22"/>
                <w:szCs w:val="22"/>
              </w:rPr>
              <w:t xml:space="preserve"> </w:t>
            </w:r>
            <w:r>
              <w:rPr>
                <w:rFonts w:ascii="Aptos" w:eastAsia="Times New Roman" w:hAnsi="Aptos"/>
                <w:color w:val="000000"/>
              </w:rPr>
              <w:t>venta</w:t>
            </w:r>
            <w:proofErr w:type="gramEnd"/>
            <w:r>
              <w:rPr>
                <w:rFonts w:ascii="Aptos" w:eastAsia="Times New Roman" w:hAnsi="Aptos"/>
                <w:color w:val="000000"/>
              </w:rPr>
              <w:t xml:space="preserve"> de carbón análisis con PC</w:t>
            </w:r>
          </w:p>
        </w:tc>
      </w:tr>
      <w:tr w:rsidR="00CD03B4" w:rsidRPr="00056B04" w14:paraId="0CFD0111" w14:textId="77777777" w:rsidTr="00491A7A">
        <w:tc>
          <w:tcPr>
            <w:tcW w:w="3664" w:type="dxa"/>
          </w:tcPr>
          <w:p w14:paraId="7E18E941"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Maniobra</w:t>
            </w:r>
          </w:p>
        </w:tc>
        <w:tc>
          <w:tcPr>
            <w:tcW w:w="10932" w:type="dxa"/>
            <w:gridSpan w:val="2"/>
          </w:tcPr>
          <w:p w14:paraId="1CB954F5"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Manipulación de precios de transferencia.</w:t>
            </w:r>
          </w:p>
        </w:tc>
      </w:tr>
      <w:tr w:rsidR="00CD03B4" w:rsidRPr="00056B04" w14:paraId="36BCAE4A" w14:textId="77777777" w:rsidTr="00491A7A">
        <w:tc>
          <w:tcPr>
            <w:tcW w:w="3664" w:type="dxa"/>
          </w:tcPr>
          <w:p w14:paraId="611E9648"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Normas Involucradas</w:t>
            </w:r>
          </w:p>
        </w:tc>
        <w:tc>
          <w:tcPr>
            <w:tcW w:w="10932" w:type="dxa"/>
            <w:gridSpan w:val="2"/>
          </w:tcPr>
          <w:p w14:paraId="6D782F54" w14:textId="77777777" w:rsidR="00CD03B4" w:rsidRPr="00056B04" w:rsidRDefault="00CD03B4" w:rsidP="00491A7A">
            <w:pPr>
              <w:jc w:val="both"/>
              <w:rPr>
                <w:rFonts w:ascii="Arial" w:hAnsi="Arial" w:cs="Arial"/>
                <w:sz w:val="22"/>
                <w:szCs w:val="22"/>
              </w:rPr>
            </w:pPr>
            <w:r>
              <w:t>29, 95.9 y 363 de la Constitución; y 260-2, 260-3, 683, 742 y 743 del ET (Estatuto Tributario)</w:t>
            </w:r>
          </w:p>
        </w:tc>
      </w:tr>
      <w:tr w:rsidR="00CD03B4" w:rsidRPr="00056B04" w14:paraId="1FFCF72B" w14:textId="77777777" w:rsidTr="00491A7A">
        <w:tc>
          <w:tcPr>
            <w:tcW w:w="3664" w:type="dxa"/>
          </w:tcPr>
          <w:p w14:paraId="7F7721A0"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 xml:space="preserve">Norma </w:t>
            </w:r>
            <w:proofErr w:type="spellStart"/>
            <w:r w:rsidRPr="00056B04">
              <w:rPr>
                <w:rFonts w:ascii="Arial" w:hAnsi="Arial" w:cs="Arial"/>
                <w:sz w:val="22"/>
                <w:szCs w:val="22"/>
              </w:rPr>
              <w:t>anti-abuso</w:t>
            </w:r>
            <w:proofErr w:type="spellEnd"/>
            <w:r w:rsidRPr="00056B04">
              <w:rPr>
                <w:rFonts w:ascii="Arial" w:hAnsi="Arial" w:cs="Arial"/>
                <w:sz w:val="22"/>
                <w:szCs w:val="22"/>
              </w:rPr>
              <w:t xml:space="preserve"> utilizada</w:t>
            </w:r>
          </w:p>
        </w:tc>
        <w:tc>
          <w:tcPr>
            <w:tcW w:w="1356" w:type="dxa"/>
            <w:tcBorders>
              <w:right w:val="nil"/>
            </w:tcBorders>
          </w:tcPr>
          <w:p w14:paraId="1851E1AD" w14:textId="77777777" w:rsidR="00CD03B4" w:rsidRPr="00056B04" w:rsidRDefault="00F31750" w:rsidP="00491A7A">
            <w:pPr>
              <w:tabs>
                <w:tab w:val="left" w:pos="1395"/>
              </w:tabs>
              <w:jc w:val="both"/>
              <w:rPr>
                <w:rFonts w:ascii="Arial" w:hAnsi="Arial" w:cs="Arial"/>
                <w:sz w:val="22"/>
                <w:szCs w:val="22"/>
              </w:rPr>
            </w:pPr>
            <w:sdt>
              <w:sdtPr>
                <w:rPr>
                  <w:rFonts w:ascii="Arial" w:hAnsi="Arial" w:cs="Arial"/>
                  <w:sz w:val="22"/>
                  <w:szCs w:val="22"/>
                </w:rPr>
                <w:alias w:val="Norma anti abuso"/>
                <w:tag w:val="Norma anti abuso"/>
                <w:id w:val="1091666093"/>
                <w:placeholder>
                  <w:docPart w:val="40A4B1232D61428F82EAC8DB3EDD20B0"/>
                </w:placeholder>
                <w:dropDownList>
                  <w:listItem w:displayText="Selección" w:value="Selección"/>
                  <w:listItem w:displayText="GAAR" w:value="GAAR"/>
                  <w:listItem w:displayText="SAAR" w:value="SAAR"/>
                </w:dropDownList>
              </w:sdtPr>
              <w:sdtEndPr/>
              <w:sdtContent>
                <w:r w:rsidR="00CD03B4" w:rsidRPr="00056B04">
                  <w:rPr>
                    <w:rFonts w:ascii="Arial" w:hAnsi="Arial" w:cs="Arial"/>
                    <w:sz w:val="22"/>
                    <w:szCs w:val="22"/>
                  </w:rPr>
                  <w:t>Selección</w:t>
                </w:r>
              </w:sdtContent>
            </w:sdt>
            <w:r w:rsidR="00CD03B4" w:rsidRPr="00056B04">
              <w:rPr>
                <w:rFonts w:ascii="Arial" w:hAnsi="Arial" w:cs="Arial"/>
                <w:sz w:val="22"/>
                <w:szCs w:val="22"/>
              </w:rPr>
              <w:t xml:space="preserve"> </w:t>
            </w:r>
          </w:p>
        </w:tc>
        <w:tc>
          <w:tcPr>
            <w:tcW w:w="9576" w:type="dxa"/>
            <w:tcBorders>
              <w:left w:val="nil"/>
            </w:tcBorders>
          </w:tcPr>
          <w:p w14:paraId="184B68B7" w14:textId="77777777" w:rsidR="00CD03B4" w:rsidRPr="00056B04" w:rsidRDefault="00CD03B4" w:rsidP="00491A7A">
            <w:pPr>
              <w:tabs>
                <w:tab w:val="left" w:pos="1395"/>
              </w:tabs>
              <w:jc w:val="both"/>
              <w:rPr>
                <w:rFonts w:ascii="Arial" w:hAnsi="Arial" w:cs="Arial"/>
                <w:i/>
                <w:iCs/>
                <w:sz w:val="22"/>
                <w:szCs w:val="22"/>
              </w:rPr>
            </w:pPr>
            <w:r w:rsidRPr="00056B04">
              <w:rPr>
                <w:rFonts w:ascii="Arial" w:hAnsi="Arial" w:cs="Arial"/>
                <w:i/>
                <w:iCs/>
                <w:sz w:val="22"/>
                <w:szCs w:val="22"/>
              </w:rPr>
              <w:t>No aplica</w:t>
            </w:r>
          </w:p>
        </w:tc>
      </w:tr>
      <w:tr w:rsidR="00CD03B4" w:rsidRPr="00056B04" w14:paraId="53C7C48C" w14:textId="77777777" w:rsidTr="00491A7A">
        <w:tc>
          <w:tcPr>
            <w:tcW w:w="3664" w:type="dxa"/>
          </w:tcPr>
          <w:p w14:paraId="46A2F96C"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Mecanismo o instancia de resolución de casos</w:t>
            </w:r>
          </w:p>
        </w:tc>
        <w:tc>
          <w:tcPr>
            <w:tcW w:w="10932" w:type="dxa"/>
            <w:gridSpan w:val="2"/>
          </w:tcPr>
          <w:p w14:paraId="7547850A" w14:textId="77777777" w:rsidR="00CD03B4" w:rsidRPr="00056B04" w:rsidRDefault="00F31750" w:rsidP="00491A7A">
            <w:pPr>
              <w:jc w:val="both"/>
              <w:rPr>
                <w:rFonts w:ascii="Arial" w:hAnsi="Arial" w:cs="Arial"/>
                <w:sz w:val="22"/>
                <w:szCs w:val="22"/>
              </w:rPr>
            </w:pPr>
            <w:sdt>
              <w:sdtPr>
                <w:rPr>
                  <w:rFonts w:ascii="Arial" w:hAnsi="Arial" w:cs="Arial"/>
                  <w:sz w:val="22"/>
                  <w:szCs w:val="22"/>
                </w:rPr>
                <w:alias w:val="Mecanismo o instancia de resolución de casos"/>
                <w:tag w:val="Mecanismo o instancia de resolución de casos"/>
                <w:id w:val="-812484484"/>
                <w:placeholder>
                  <w:docPart w:val="CB93784D1E3340ECB07240875D77FE0D"/>
                </w:placeholder>
                <w:dropDownList>
                  <w:listItem w:displayText="Selección" w:value="Selección"/>
                  <w:listItem w:displayText="Métodos Alternativos de Resolución de Conflictos" w:value="Métodos Alternativos de Resolución de Conflictos"/>
                  <w:listItem w:displayText="Sede Judicial" w:value="Sede Judicial"/>
                  <w:listItem w:displayText="Sede No Judicial" w:value="Sede No Judicial"/>
                  <w:listItem w:displayText="Otros" w:value="Otros"/>
                </w:dropDownList>
              </w:sdtPr>
              <w:sdtEndPr/>
              <w:sdtContent>
                <w:r w:rsidR="00CD03B4" w:rsidRPr="00056B04">
                  <w:rPr>
                    <w:rFonts w:ascii="Arial" w:hAnsi="Arial" w:cs="Arial"/>
                    <w:sz w:val="22"/>
                    <w:szCs w:val="22"/>
                  </w:rPr>
                  <w:t>Sede Judicial</w:t>
                </w:r>
              </w:sdtContent>
            </w:sdt>
          </w:p>
        </w:tc>
      </w:tr>
      <w:tr w:rsidR="00CD03B4" w:rsidRPr="00056B04" w14:paraId="0E00886C" w14:textId="77777777" w:rsidTr="00491A7A">
        <w:tc>
          <w:tcPr>
            <w:tcW w:w="3664" w:type="dxa"/>
          </w:tcPr>
          <w:p w14:paraId="31CC08B3"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Sector económico</w:t>
            </w:r>
          </w:p>
        </w:tc>
        <w:sdt>
          <w:sdtPr>
            <w:rPr>
              <w:rFonts w:ascii="Arial" w:hAnsi="Arial" w:cs="Arial"/>
              <w:sz w:val="22"/>
              <w:szCs w:val="22"/>
            </w:rPr>
            <w:alias w:val="Actividad por Sector Económico"/>
            <w:tag w:val="Actividad por Sector Económico"/>
            <w:id w:val="2047098337"/>
            <w:placeholder>
              <w:docPart w:val="A68CD5EF5502429DA306B23BA47E6109"/>
            </w:placeholder>
            <w:dropDownList>
              <w:listItem w:displayText="Selección" w:value="Selección"/>
              <w:listItem w:displayText="Agricultura, Silvicultura, Caza y Pesca" w:value="Agricultura, Silvicultura, Caza y Pesca"/>
              <w:listItem w:displayText="Minería, Canteras y Extracción de Petróleo y Gas" w:value="Minería, Canteras y Extracción de Petróleo y Gas"/>
              <w:listItem w:displayText="Construcción" w:value="Construcción"/>
              <w:listItem w:displayText="Manufactura" w:value="Manufactura"/>
              <w:listItem w:displayText="Comercio al por Mayor" w:value="Comercio al por Mayor"/>
              <w:listItem w:displayText="Comercio al por Menor" w:value="Comercio al por Menor"/>
              <w:listItem w:displayText="Transporte y Almacenamiento" w:value="Transporte y Almacenamiento"/>
              <w:listItem w:displayText="Información" w:value="Información"/>
              <w:listItem w:displayText="Finanzas y Seguros" w:value="Finanzas y Seguros"/>
              <w:listItem w:displayText="Bienes y Raíces y Alquiler de Bienes Muebles e Inmuebles" w:value="Bienes y Raíces y Alquiler de Bienes Muebles e Inmuebles"/>
              <w:listItem w:displayText="Servicios profesionales, científicos y técnicos" w:value="Servicios profesionales, científicos y técnicos"/>
              <w:listItem w:displayText="Gestión de Empresas y Consultoría Administrativa" w:value="Gestión de Empresas y Consultoría Administrativa"/>
              <w:listItem w:displayText="Administración y apoyo, central de desechos y servicios de reparación" w:value="Administración y apoyo, central de desechos y servicios de reparación"/>
              <w:listItem w:displayText="Servicios educativos" w:value="Servicios educativos"/>
              <w:listItem w:displayText="Artes, entretenimiento y recreación" w:value="Artes, entretenimiento y recreación"/>
              <w:listItem w:displayText="Otros servicios (exceptuando la administración pública)" w:value="Otros servicios (exceptuando la administración pública)"/>
              <w:listItem w:displayText="Alojamiento, servicios de alimento y lugares para beber" w:value="Alojamiento, servicios de alimento y lugares para beber"/>
              <w:listItem w:displayText="Utilidades" w:value="Utilidades"/>
              <w:listItem w:displayText="Cuidados de Salud y Asistencia Social" w:value="Cuidados de Salud y Asistencia Social"/>
              <w:listItem w:displayText="Administración Pública" w:value="Administración Pública"/>
              <w:listItem w:displayText="Otro" w:value="Otro"/>
            </w:dropDownList>
          </w:sdtPr>
          <w:sdtEndPr/>
          <w:sdtContent>
            <w:tc>
              <w:tcPr>
                <w:tcW w:w="10932" w:type="dxa"/>
                <w:gridSpan w:val="2"/>
              </w:tcPr>
              <w:p w14:paraId="7B768CB2" w14:textId="77777777" w:rsidR="00CD03B4" w:rsidRPr="00056B04" w:rsidRDefault="00CD03B4" w:rsidP="00491A7A">
                <w:pPr>
                  <w:jc w:val="both"/>
                  <w:rPr>
                    <w:rFonts w:ascii="Arial" w:hAnsi="Arial" w:cs="Arial"/>
                    <w:sz w:val="22"/>
                    <w:szCs w:val="22"/>
                  </w:rPr>
                </w:pPr>
                <w:r>
                  <w:rPr>
                    <w:rFonts w:ascii="Arial" w:hAnsi="Arial" w:cs="Arial"/>
                    <w:sz w:val="22"/>
                    <w:szCs w:val="22"/>
                  </w:rPr>
                  <w:t>Minería, Canteras y Extracción de Petróleo y Gas</w:t>
                </w:r>
              </w:p>
            </w:tc>
          </w:sdtContent>
        </w:sdt>
      </w:tr>
      <w:tr w:rsidR="00CD03B4" w:rsidRPr="00056B04" w14:paraId="1893E09D" w14:textId="77777777" w:rsidTr="00491A7A">
        <w:tc>
          <w:tcPr>
            <w:tcW w:w="3664" w:type="dxa"/>
          </w:tcPr>
          <w:p w14:paraId="457E3F2C"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Subsector</w:t>
            </w:r>
          </w:p>
        </w:tc>
        <w:tc>
          <w:tcPr>
            <w:tcW w:w="10932" w:type="dxa"/>
            <w:gridSpan w:val="2"/>
          </w:tcPr>
          <w:p w14:paraId="174A4DB5" w14:textId="77777777" w:rsidR="00CD03B4" w:rsidRPr="00056B04" w:rsidRDefault="00CD03B4" w:rsidP="00491A7A">
            <w:pPr>
              <w:jc w:val="both"/>
              <w:rPr>
                <w:rFonts w:ascii="Arial" w:hAnsi="Arial" w:cs="Arial"/>
                <w:sz w:val="22"/>
                <w:szCs w:val="22"/>
              </w:rPr>
            </w:pPr>
          </w:p>
        </w:tc>
      </w:tr>
      <w:tr w:rsidR="00CD03B4" w:rsidRPr="00056B04" w14:paraId="625487FA" w14:textId="77777777" w:rsidTr="00491A7A">
        <w:tc>
          <w:tcPr>
            <w:tcW w:w="3664" w:type="dxa"/>
          </w:tcPr>
          <w:p w14:paraId="7C1CA1ED"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Tipo de contribuyente</w:t>
            </w:r>
          </w:p>
        </w:tc>
        <w:tc>
          <w:tcPr>
            <w:tcW w:w="10932" w:type="dxa"/>
            <w:gridSpan w:val="2"/>
          </w:tcPr>
          <w:p w14:paraId="717CF875"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 xml:space="preserve">Persona Jurídica </w:t>
            </w:r>
          </w:p>
        </w:tc>
      </w:tr>
      <w:tr w:rsidR="00CD03B4" w:rsidRPr="00056B04" w14:paraId="552B05E7" w14:textId="77777777" w:rsidTr="00491A7A">
        <w:tc>
          <w:tcPr>
            <w:tcW w:w="3664" w:type="dxa"/>
          </w:tcPr>
          <w:p w14:paraId="5FF17C2D"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Argumentos del Fisco</w:t>
            </w:r>
          </w:p>
        </w:tc>
        <w:tc>
          <w:tcPr>
            <w:tcW w:w="10932" w:type="dxa"/>
            <w:gridSpan w:val="2"/>
          </w:tcPr>
          <w:p w14:paraId="4E35BBF0" w14:textId="77777777" w:rsidR="00CD03B4" w:rsidRDefault="00CD03B4" w:rsidP="00491A7A">
            <w:pPr>
              <w:jc w:val="both"/>
              <w:rPr>
                <w:rFonts w:ascii="Arial" w:hAnsi="Arial" w:cs="Arial"/>
                <w:sz w:val="22"/>
                <w:szCs w:val="22"/>
              </w:rPr>
            </w:pPr>
            <w:r>
              <w:t>Las transacciones vinculadas incluyeron costos de transporte y otras erogaciones que distorsionaban el precio real del carbón al compararlo con las transacciones realizadas con partes independientes. Si bien reconoció el método utilizado por la demandante, el análisis debió excluir esos costos para asegurar una comparación confiable. También se recalca que las diferencias alegadas por la demandante no fueron justificadas en la documentación comprobatoria presentada inicialmente, y que el dictamen pericial presentado tardíamente no puede corregir esta omisión.</w:t>
            </w:r>
          </w:p>
          <w:p w14:paraId="7E77CE1C" w14:textId="77777777" w:rsidR="00CD03B4" w:rsidRPr="00056B04" w:rsidRDefault="00CD03B4" w:rsidP="00491A7A">
            <w:pPr>
              <w:jc w:val="both"/>
              <w:rPr>
                <w:rFonts w:ascii="Arial" w:hAnsi="Arial" w:cs="Arial"/>
                <w:sz w:val="22"/>
                <w:szCs w:val="22"/>
              </w:rPr>
            </w:pPr>
            <w:r>
              <w:t>Censuró que omitiera valorar todas las pruebas que obraban en el expediente, las cuales, en su criterio, demostraban que los ajustes de comparabilidad practicados en el dictamen pericial mejoraban la fiabilidad de la comparación.</w:t>
            </w:r>
          </w:p>
        </w:tc>
      </w:tr>
      <w:tr w:rsidR="00CD03B4" w:rsidRPr="00056B04" w14:paraId="7565E2B6" w14:textId="77777777" w:rsidTr="00491A7A">
        <w:tc>
          <w:tcPr>
            <w:tcW w:w="3664" w:type="dxa"/>
          </w:tcPr>
          <w:p w14:paraId="6E8E40F6"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t>Argumento del Contribuyente</w:t>
            </w:r>
          </w:p>
        </w:tc>
        <w:tc>
          <w:tcPr>
            <w:tcW w:w="10932" w:type="dxa"/>
            <w:gridSpan w:val="2"/>
          </w:tcPr>
          <w:p w14:paraId="625F1999" w14:textId="77777777" w:rsidR="00CD03B4" w:rsidRPr="00056B04" w:rsidRDefault="00CD03B4" w:rsidP="00491A7A">
            <w:pPr>
              <w:jc w:val="both"/>
              <w:rPr>
                <w:rFonts w:ascii="Arial" w:hAnsi="Arial" w:cs="Arial"/>
                <w:sz w:val="22"/>
                <w:szCs w:val="22"/>
              </w:rPr>
            </w:pPr>
            <w:r>
              <w:t xml:space="preserve">El análisis de Precios de Transferencia fue el adecuado, pues los precios de transferencia se determinaron correctamente con el método de precio comparable no controlado. Igualmente, los costos adicionales asociados al transporte y al proceso de granulometría—necesarios para garantizar la calidad del carbón exportado—afectaron significativamente los precios, justificando así los ajustes técnicos y económicos que </w:t>
            </w:r>
            <w:r>
              <w:lastRenderedPageBreak/>
              <w:t>realizó para eliminar estas diferencias. Además, refuerza que estos ajustes fueron respaldados por un dictamen pericial que demostraba que los precios estaban dentro del rango de mercado.</w:t>
            </w:r>
          </w:p>
        </w:tc>
      </w:tr>
      <w:tr w:rsidR="00CD03B4" w:rsidRPr="00056B04" w14:paraId="610035CB" w14:textId="77777777" w:rsidTr="00491A7A">
        <w:tc>
          <w:tcPr>
            <w:tcW w:w="3664" w:type="dxa"/>
          </w:tcPr>
          <w:p w14:paraId="60B7620B" w14:textId="77777777" w:rsidR="00CD03B4" w:rsidRPr="00056B04" w:rsidRDefault="00CD03B4" w:rsidP="00491A7A">
            <w:pPr>
              <w:jc w:val="both"/>
              <w:rPr>
                <w:rFonts w:ascii="Arial" w:hAnsi="Arial" w:cs="Arial"/>
                <w:sz w:val="22"/>
                <w:szCs w:val="22"/>
              </w:rPr>
            </w:pPr>
            <w:r w:rsidRPr="00056B04">
              <w:rPr>
                <w:rFonts w:ascii="Arial" w:hAnsi="Arial" w:cs="Arial"/>
                <w:sz w:val="22"/>
                <w:szCs w:val="22"/>
              </w:rPr>
              <w:lastRenderedPageBreak/>
              <w:t>Resultado</w:t>
            </w:r>
          </w:p>
        </w:tc>
        <w:tc>
          <w:tcPr>
            <w:tcW w:w="10932" w:type="dxa"/>
            <w:gridSpan w:val="2"/>
          </w:tcPr>
          <w:p w14:paraId="763918A2" w14:textId="77777777" w:rsidR="00CD03B4" w:rsidRDefault="00CD03B4" w:rsidP="00491A7A">
            <w:pPr>
              <w:jc w:val="both"/>
            </w:pPr>
            <w:r>
              <w:t>Los ajustes de comparabilidad realizados por la Administración fueron correctos para asegurar la fiabilidad de la comparación. Igualmente, la documentación comprobatoria no justificó las diferencias alegadas por el contribuyente y el dictamen pericial presentado tardíamente no es suficiente para modificar el análisis inicial. señalando que dichos ajustes eran necesarios para garantizar la fiabilidad de la comparación de precios entre las operaciones vinculadas y no vinculadas. De igual manera, excluir los costos de transporte y el proceso de granulometría es correcto, ya que estos elementos distorsionaban el precio del producto, afectando su comparabilidad. El contribuyente no reflejó en su documentación comprobatoria las diferencias alegadas ni los ajustes técnicos pretendidos. Además, destaca que el dictamen pericial aportado en sede judicial no puede suplir esta omisión, pues los ajustes debieron ser documentados desde el inicio para permitir una adecuada fiscalización. </w:t>
            </w:r>
          </w:p>
          <w:p w14:paraId="0772FA7D" w14:textId="77777777" w:rsidR="00CD03B4" w:rsidRPr="00056B04" w:rsidRDefault="00CD03B4" w:rsidP="00491A7A">
            <w:pPr>
              <w:jc w:val="both"/>
              <w:rPr>
                <w:rFonts w:ascii="Arial" w:hAnsi="Arial" w:cs="Arial"/>
                <w:sz w:val="22"/>
                <w:szCs w:val="22"/>
              </w:rPr>
            </w:pPr>
            <w:r>
              <w:t>Procedía el ajuste que practicó la autoridad tributaria al rango de precios consistente en excluir del valor unitario del carbón los costos asociados a la entrega de la carga (transporte y seguros), porque con ello mejoró la fiabilidad de la comparación</w:t>
            </w:r>
          </w:p>
        </w:tc>
      </w:tr>
    </w:tbl>
    <w:p w14:paraId="29F2AD83" w14:textId="77777777" w:rsidR="007E4E94" w:rsidRDefault="007E4E94" w:rsidP="00B84F17"/>
    <w:p w14:paraId="6EC389CA" w14:textId="77777777" w:rsidR="00D508A2" w:rsidRPr="00306C5D" w:rsidRDefault="00D508A2" w:rsidP="00D508A2">
      <w:pPr>
        <w:jc w:val="both"/>
        <w:rPr>
          <w:rFonts w:ascii="Arial" w:hAnsi="Arial" w:cs="Arial"/>
          <w:b/>
          <w:bCs/>
          <w:sz w:val="22"/>
          <w:szCs w:val="22"/>
          <w:lang w:val="es-US"/>
        </w:rPr>
      </w:pPr>
      <w:r w:rsidRPr="00306C5D">
        <w:rPr>
          <w:rFonts w:ascii="Arial" w:hAnsi="Arial" w:cs="Arial"/>
          <w:b/>
          <w:bCs/>
          <w:sz w:val="22"/>
          <w:szCs w:val="22"/>
          <w:lang w:val="es-US"/>
        </w:rPr>
        <w:t>I. Resumen del caso</w:t>
      </w:r>
    </w:p>
    <w:p w14:paraId="5262BD1B"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El proceso corresponde a una acción de nulidad y restablecimiento del derecho interpuesta por la sociedad CI </w:t>
      </w:r>
      <w:proofErr w:type="spellStart"/>
      <w:r w:rsidRPr="009526EB">
        <w:rPr>
          <w:rFonts w:ascii="Arial" w:hAnsi="Arial" w:cs="Arial"/>
          <w:sz w:val="22"/>
          <w:szCs w:val="22"/>
          <w:lang w:val="es-US"/>
        </w:rPr>
        <w:t>Interamerican</w:t>
      </w:r>
      <w:proofErr w:type="spellEnd"/>
      <w:r w:rsidRPr="009526EB">
        <w:rPr>
          <w:rFonts w:ascii="Arial" w:hAnsi="Arial" w:cs="Arial"/>
          <w:sz w:val="22"/>
          <w:szCs w:val="22"/>
          <w:lang w:val="es-US"/>
        </w:rPr>
        <w:t xml:space="preserve"> Conminas SAS contra actos administrativos emitidos por la Dirección de Impuestos y Aduanas Nacionales (DIAN), mediante los cuales se modificó la declaración del impuesto sobre la renta correspondiente al año gravable 2012. La modificación se originó en un ajuste de precios de transferencia relacionado con las ventas de carbón realizadas por la sociedad a una entidad vinculada del exterior. La administración tributaria expidió una Liquidación Oficial de Revisión mediante la cual adicionó ingresos operacionales y determinó una sanción por inexactitud. La decisión fue confirmada posteriormente mediante resolución que resolvió el recurso de reconsideración. El Tribunal Administrativo de Cundinamarca negó las pretensiones de la demanda en primera instancia, decisión que fue apelada por la contribuyente ante el Consejo de Estado. </w:t>
      </w:r>
    </w:p>
    <w:p w14:paraId="0C5BB0B4"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lastRenderedPageBreak/>
        <w:t xml:space="preserve">La cuestión jurídica principal consistió en determinar si las pruebas obrantes en el expediente demostraban que las operaciones realizadas entre la contribuyente y su vinculada económica del exterior cumplían el principio de plena competencia. En particular, se debatió si era procedente realizar ajustes de comparabilidad relacionados con costos de transporte y procesos de clasificación granulométrica del carbón, con el fin de eliminar diferencias entre las operaciones vinculadas y las realizadas con terceros independientes. </w:t>
      </w:r>
    </w:p>
    <w:p w14:paraId="0F0D1958"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La administración tributaria sostuvo que el análisis realizado por la contribuyente no reflejaba correctamente el precio del producto comparado, pues el valor utilizado incluía costos de transporte y otros gastos asociados a la entrega del carbón. En criterio de la DIAN, tales erogaciones distorsionaban el precio del bien objeto de comparación, razón por la cual procedía excluir dichos costos para determinar el rango de plena competencia. Como resultado de ese ajuste, concluyó que los precios pactados en las operaciones con la vinculada se encontraban por fuera del rango correspondiente, motivo por el cual incrementó los ingresos declarados y aplicó sanción por inexactitud. </w:t>
      </w:r>
    </w:p>
    <w:p w14:paraId="6F95F7D7"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La contribuyente argumentó que las operaciones comparadas presentaban diferencias económicas relevantes que justificaban ajustes de comparabilidad. Sostuvo que el carbón vendido a terceros independientes implicaba mayores costos y procesos adicionales, como transporte a diferentes puertos y clasificación granulométrica para cumplir especificaciones técnicas. Según la empresa, estos factores incrementaban el precio de las transacciones con terceros, por lo que resultaba necesario realizar ajustes técnicos para eliminar dichas diferencias y lograr una comparación adecuada. También alegó que tales circunstancias fueron demostradas mediante dictamen pericial aportado en el proceso judicial. </w:t>
      </w:r>
    </w:p>
    <w:p w14:paraId="4DC7B142"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La autoridad decisora analizó la normativa aplicable al régimen de precios de transferencia y los criterios de comparabilidad previstos en el Estatuto Tributario. Señaló que los ajustes de comparabilidad deben estar sustentados en la documentación comprobatoria del estudio de precios de transferencia, la cual constituye el medio de prueba idóneo para acreditar la observancia del principio de plena competencia. En ese contexto, concluyó que los ajustes propuestos por la demandante no fueron incluidos en la documentación comprobatoria presentada ante la administración, sino que fueron planteados por primera vez en el dictamen pericial aportado con la reforma de la demanda. En consecuencia, consideró que dicho dictamen no podía subsanar ni modificar los resultados del estudio presentado originalmente. </w:t>
      </w:r>
    </w:p>
    <w:p w14:paraId="5F13BB32"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La Sala determinó que los ajustes de comparabilidad alegados por la contribuyente debían reflejarse en el estudio de precios de transferencia presentado oportunamente ante la administración tributaria. Al no haber sido incluidos en la documentación comprobatoria, no podían introducirse posteriormente mediante un dictamen pericial en sede judicial. Por esa razón, concluyó que las modificaciones realizadas por la administración tributaria eran procedentes y que los precios pactados con la vinculada del exterior se encontraban por fuera del rango de plena competencia. </w:t>
      </w:r>
    </w:p>
    <w:p w14:paraId="32A37349"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lastRenderedPageBreak/>
        <w:t xml:space="preserve">El órgano decisor declaró que los dictámenes periciales no constituyen una oportunidad para que el contribuyente subsane o modifique los resultados de su estudio de precios de transferencia durante el proceso judicial. Además, confirmó la sanción por inexactitud al considerar probado que los ingresos derivados de las operaciones con la vinculada no correspondían a los precios que hubieran pactado partes independientes en condiciones comparables. </w:t>
      </w:r>
    </w:p>
    <w:p w14:paraId="348D1864" w14:textId="77777777" w:rsidR="009526EB" w:rsidRPr="009526EB" w:rsidRDefault="009526EB" w:rsidP="009526EB">
      <w:pPr>
        <w:jc w:val="both"/>
        <w:rPr>
          <w:rFonts w:ascii="Arial" w:hAnsi="Arial" w:cs="Arial"/>
          <w:sz w:val="22"/>
          <w:szCs w:val="22"/>
          <w:lang w:val="es-US"/>
        </w:rPr>
      </w:pPr>
      <w:r w:rsidRPr="009526EB">
        <w:rPr>
          <w:rFonts w:ascii="Arial" w:hAnsi="Arial" w:cs="Arial"/>
          <w:sz w:val="22"/>
          <w:szCs w:val="22"/>
          <w:lang w:val="es-US"/>
        </w:rPr>
        <w:t xml:space="preserve">El impacto en materia de precios de transferencia se expresa en la interpretación según la cual los ajustes de comparabilidad deben incorporarse y justificarse dentro de la documentación comprobatoria del estudio de precios de transferencia, sin que puedan introducirse posteriormente mediante prueba pericial durante el proceso judicial. </w:t>
      </w:r>
    </w:p>
    <w:sectPr w:rsidR="009526EB" w:rsidRPr="009526EB" w:rsidSect="009A2773">
      <w:pgSz w:w="15840" w:h="12240" w:orient="landscape"/>
      <w:pgMar w:top="1701" w:right="1417" w:bottom="170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73"/>
    <w:rsid w:val="0001453A"/>
    <w:rsid w:val="000B4DB4"/>
    <w:rsid w:val="000C525B"/>
    <w:rsid w:val="003443A2"/>
    <w:rsid w:val="003621FE"/>
    <w:rsid w:val="00473E5C"/>
    <w:rsid w:val="00504CD8"/>
    <w:rsid w:val="0055129D"/>
    <w:rsid w:val="00606A19"/>
    <w:rsid w:val="00637CF7"/>
    <w:rsid w:val="00650FF9"/>
    <w:rsid w:val="006E6134"/>
    <w:rsid w:val="00751F77"/>
    <w:rsid w:val="00780457"/>
    <w:rsid w:val="007D71BE"/>
    <w:rsid w:val="007E4E94"/>
    <w:rsid w:val="009526EB"/>
    <w:rsid w:val="009836D2"/>
    <w:rsid w:val="009A2773"/>
    <w:rsid w:val="009C7BB2"/>
    <w:rsid w:val="00A95A6A"/>
    <w:rsid w:val="00A96134"/>
    <w:rsid w:val="00AD0D4F"/>
    <w:rsid w:val="00B66FE0"/>
    <w:rsid w:val="00B7064A"/>
    <w:rsid w:val="00B84F17"/>
    <w:rsid w:val="00CD03B4"/>
    <w:rsid w:val="00D508A2"/>
    <w:rsid w:val="00D640B6"/>
    <w:rsid w:val="00E216E8"/>
    <w:rsid w:val="00F20DEA"/>
    <w:rsid w:val="00F242A3"/>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CFB3"/>
  <w15:chartTrackingRefBased/>
  <w15:docId w15:val="{DA916D59-FCE7-4C93-99DC-04E37A08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773"/>
    <w:pPr>
      <w:spacing w:line="278" w:lineRule="auto"/>
    </w:pPr>
    <w:rPr>
      <w:sz w:val="24"/>
      <w:szCs w:val="24"/>
      <w:lang w:val="es-PA"/>
    </w:rPr>
  </w:style>
  <w:style w:type="paragraph" w:styleId="Ttulo1">
    <w:name w:val="heading 1"/>
    <w:basedOn w:val="Normal"/>
    <w:next w:val="Normal"/>
    <w:link w:val="Ttulo1Car"/>
    <w:uiPriority w:val="9"/>
    <w:qFormat/>
    <w:rsid w:val="009A2773"/>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s-US"/>
    </w:rPr>
  </w:style>
  <w:style w:type="paragraph" w:styleId="Ttulo2">
    <w:name w:val="heading 2"/>
    <w:basedOn w:val="Normal"/>
    <w:next w:val="Normal"/>
    <w:link w:val="Ttulo2Car"/>
    <w:uiPriority w:val="9"/>
    <w:semiHidden/>
    <w:unhideWhenUsed/>
    <w:qFormat/>
    <w:rsid w:val="009A2773"/>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s-US"/>
    </w:rPr>
  </w:style>
  <w:style w:type="paragraph" w:styleId="Ttulo3">
    <w:name w:val="heading 3"/>
    <w:basedOn w:val="Normal"/>
    <w:next w:val="Normal"/>
    <w:link w:val="Ttulo3Car"/>
    <w:uiPriority w:val="9"/>
    <w:semiHidden/>
    <w:unhideWhenUsed/>
    <w:qFormat/>
    <w:rsid w:val="009A2773"/>
    <w:pPr>
      <w:keepNext/>
      <w:keepLines/>
      <w:spacing w:before="160" w:after="80" w:line="259" w:lineRule="auto"/>
      <w:outlineLvl w:val="2"/>
    </w:pPr>
    <w:rPr>
      <w:rFonts w:eastAsiaTheme="majorEastAsia" w:cstheme="majorBidi"/>
      <w:color w:val="2F5496" w:themeColor="accent1" w:themeShade="BF"/>
      <w:sz w:val="28"/>
      <w:szCs w:val="28"/>
      <w:lang w:val="es-US"/>
    </w:rPr>
  </w:style>
  <w:style w:type="paragraph" w:styleId="Ttulo4">
    <w:name w:val="heading 4"/>
    <w:basedOn w:val="Normal"/>
    <w:next w:val="Normal"/>
    <w:link w:val="Ttulo4Car"/>
    <w:uiPriority w:val="9"/>
    <w:semiHidden/>
    <w:unhideWhenUsed/>
    <w:qFormat/>
    <w:rsid w:val="009A2773"/>
    <w:pPr>
      <w:keepNext/>
      <w:keepLines/>
      <w:spacing w:before="80" w:after="40" w:line="259" w:lineRule="auto"/>
      <w:outlineLvl w:val="3"/>
    </w:pPr>
    <w:rPr>
      <w:rFonts w:eastAsiaTheme="majorEastAsia" w:cstheme="majorBidi"/>
      <w:i/>
      <w:iCs/>
      <w:color w:val="2F5496" w:themeColor="accent1" w:themeShade="BF"/>
      <w:sz w:val="22"/>
      <w:szCs w:val="22"/>
      <w:lang w:val="es-US"/>
    </w:rPr>
  </w:style>
  <w:style w:type="paragraph" w:styleId="Ttulo5">
    <w:name w:val="heading 5"/>
    <w:basedOn w:val="Normal"/>
    <w:next w:val="Normal"/>
    <w:link w:val="Ttulo5Car"/>
    <w:uiPriority w:val="9"/>
    <w:semiHidden/>
    <w:unhideWhenUsed/>
    <w:qFormat/>
    <w:rsid w:val="009A2773"/>
    <w:pPr>
      <w:keepNext/>
      <w:keepLines/>
      <w:spacing w:before="80" w:after="40" w:line="259" w:lineRule="auto"/>
      <w:outlineLvl w:val="4"/>
    </w:pPr>
    <w:rPr>
      <w:rFonts w:eastAsiaTheme="majorEastAsia" w:cstheme="majorBidi"/>
      <w:color w:val="2F5496" w:themeColor="accent1" w:themeShade="BF"/>
      <w:sz w:val="22"/>
      <w:szCs w:val="22"/>
      <w:lang w:val="es-US"/>
    </w:rPr>
  </w:style>
  <w:style w:type="paragraph" w:styleId="Ttulo6">
    <w:name w:val="heading 6"/>
    <w:basedOn w:val="Normal"/>
    <w:next w:val="Normal"/>
    <w:link w:val="Ttulo6Car"/>
    <w:uiPriority w:val="9"/>
    <w:semiHidden/>
    <w:unhideWhenUsed/>
    <w:qFormat/>
    <w:rsid w:val="009A2773"/>
    <w:pPr>
      <w:keepNext/>
      <w:keepLines/>
      <w:spacing w:before="40" w:after="0" w:line="259" w:lineRule="auto"/>
      <w:outlineLvl w:val="5"/>
    </w:pPr>
    <w:rPr>
      <w:rFonts w:eastAsiaTheme="majorEastAsia" w:cstheme="majorBidi"/>
      <w:i/>
      <w:iCs/>
      <w:color w:val="595959" w:themeColor="text1" w:themeTint="A6"/>
      <w:sz w:val="22"/>
      <w:szCs w:val="22"/>
      <w:lang w:val="es-US"/>
    </w:rPr>
  </w:style>
  <w:style w:type="paragraph" w:styleId="Ttulo7">
    <w:name w:val="heading 7"/>
    <w:basedOn w:val="Normal"/>
    <w:next w:val="Normal"/>
    <w:link w:val="Ttulo7Car"/>
    <w:uiPriority w:val="9"/>
    <w:semiHidden/>
    <w:unhideWhenUsed/>
    <w:qFormat/>
    <w:rsid w:val="009A2773"/>
    <w:pPr>
      <w:keepNext/>
      <w:keepLines/>
      <w:spacing w:before="40" w:after="0" w:line="259" w:lineRule="auto"/>
      <w:outlineLvl w:val="6"/>
    </w:pPr>
    <w:rPr>
      <w:rFonts w:eastAsiaTheme="majorEastAsia" w:cstheme="majorBidi"/>
      <w:color w:val="595959" w:themeColor="text1" w:themeTint="A6"/>
      <w:sz w:val="22"/>
      <w:szCs w:val="22"/>
      <w:lang w:val="es-US"/>
    </w:rPr>
  </w:style>
  <w:style w:type="paragraph" w:styleId="Ttulo8">
    <w:name w:val="heading 8"/>
    <w:basedOn w:val="Normal"/>
    <w:next w:val="Normal"/>
    <w:link w:val="Ttulo8Car"/>
    <w:uiPriority w:val="9"/>
    <w:semiHidden/>
    <w:unhideWhenUsed/>
    <w:qFormat/>
    <w:rsid w:val="009A2773"/>
    <w:pPr>
      <w:keepNext/>
      <w:keepLines/>
      <w:spacing w:after="0" w:line="259" w:lineRule="auto"/>
      <w:outlineLvl w:val="7"/>
    </w:pPr>
    <w:rPr>
      <w:rFonts w:eastAsiaTheme="majorEastAsia" w:cstheme="majorBidi"/>
      <w:i/>
      <w:iCs/>
      <w:color w:val="272727" w:themeColor="text1" w:themeTint="D8"/>
      <w:sz w:val="22"/>
      <w:szCs w:val="22"/>
      <w:lang w:val="es-US"/>
    </w:rPr>
  </w:style>
  <w:style w:type="paragraph" w:styleId="Ttulo9">
    <w:name w:val="heading 9"/>
    <w:basedOn w:val="Normal"/>
    <w:next w:val="Normal"/>
    <w:link w:val="Ttulo9Car"/>
    <w:uiPriority w:val="9"/>
    <w:semiHidden/>
    <w:unhideWhenUsed/>
    <w:qFormat/>
    <w:rsid w:val="009A2773"/>
    <w:pPr>
      <w:keepNext/>
      <w:keepLines/>
      <w:spacing w:after="0" w:line="259" w:lineRule="auto"/>
      <w:outlineLvl w:val="8"/>
    </w:pPr>
    <w:rPr>
      <w:rFonts w:eastAsiaTheme="majorEastAsia" w:cstheme="majorBidi"/>
      <w:color w:val="272727" w:themeColor="text1" w:themeTint="D8"/>
      <w:sz w:val="22"/>
      <w:szCs w:val="22"/>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277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A277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A277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A277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A277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A27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27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27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2773"/>
    <w:rPr>
      <w:rFonts w:eastAsiaTheme="majorEastAsia" w:cstheme="majorBidi"/>
      <w:color w:val="272727" w:themeColor="text1" w:themeTint="D8"/>
    </w:rPr>
  </w:style>
  <w:style w:type="paragraph" w:styleId="Ttulo">
    <w:name w:val="Title"/>
    <w:basedOn w:val="Normal"/>
    <w:next w:val="Normal"/>
    <w:link w:val="TtuloCar"/>
    <w:uiPriority w:val="10"/>
    <w:qFormat/>
    <w:rsid w:val="009A2773"/>
    <w:pPr>
      <w:spacing w:after="80" w:line="240" w:lineRule="auto"/>
      <w:contextualSpacing/>
    </w:pPr>
    <w:rPr>
      <w:rFonts w:asciiTheme="majorHAnsi" w:eastAsiaTheme="majorEastAsia" w:hAnsiTheme="majorHAnsi" w:cstheme="majorBidi"/>
      <w:spacing w:val="-10"/>
      <w:kern w:val="28"/>
      <w:sz w:val="56"/>
      <w:szCs w:val="56"/>
      <w:lang w:val="es-US"/>
    </w:rPr>
  </w:style>
  <w:style w:type="character" w:customStyle="1" w:styleId="TtuloCar">
    <w:name w:val="Título Car"/>
    <w:basedOn w:val="Fuentedeprrafopredeter"/>
    <w:link w:val="Ttulo"/>
    <w:uiPriority w:val="10"/>
    <w:rsid w:val="009A27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2773"/>
    <w:pPr>
      <w:numPr>
        <w:ilvl w:val="1"/>
      </w:numPr>
      <w:spacing w:line="259" w:lineRule="auto"/>
    </w:pPr>
    <w:rPr>
      <w:rFonts w:eastAsiaTheme="majorEastAsia" w:cstheme="majorBidi"/>
      <w:color w:val="595959" w:themeColor="text1" w:themeTint="A6"/>
      <w:spacing w:val="15"/>
      <w:sz w:val="28"/>
      <w:szCs w:val="28"/>
      <w:lang w:val="es-US"/>
    </w:rPr>
  </w:style>
  <w:style w:type="character" w:customStyle="1" w:styleId="SubttuloCar">
    <w:name w:val="Subtítulo Car"/>
    <w:basedOn w:val="Fuentedeprrafopredeter"/>
    <w:link w:val="Subttulo"/>
    <w:uiPriority w:val="11"/>
    <w:rsid w:val="009A27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2773"/>
    <w:pPr>
      <w:spacing w:before="160" w:line="259" w:lineRule="auto"/>
      <w:jc w:val="center"/>
    </w:pPr>
    <w:rPr>
      <w:i/>
      <w:iCs/>
      <w:color w:val="404040" w:themeColor="text1" w:themeTint="BF"/>
      <w:sz w:val="22"/>
      <w:szCs w:val="22"/>
      <w:lang w:val="es-US"/>
    </w:rPr>
  </w:style>
  <w:style w:type="character" w:customStyle="1" w:styleId="CitaCar">
    <w:name w:val="Cita Car"/>
    <w:basedOn w:val="Fuentedeprrafopredeter"/>
    <w:link w:val="Cita"/>
    <w:uiPriority w:val="29"/>
    <w:rsid w:val="009A2773"/>
    <w:rPr>
      <w:i/>
      <w:iCs/>
      <w:color w:val="404040" w:themeColor="text1" w:themeTint="BF"/>
    </w:rPr>
  </w:style>
  <w:style w:type="paragraph" w:styleId="Prrafodelista">
    <w:name w:val="List Paragraph"/>
    <w:basedOn w:val="Normal"/>
    <w:uiPriority w:val="34"/>
    <w:qFormat/>
    <w:rsid w:val="009A2773"/>
    <w:pPr>
      <w:spacing w:line="259" w:lineRule="auto"/>
      <w:ind w:left="720"/>
      <w:contextualSpacing/>
    </w:pPr>
    <w:rPr>
      <w:sz w:val="22"/>
      <w:szCs w:val="22"/>
      <w:lang w:val="es-US"/>
    </w:rPr>
  </w:style>
  <w:style w:type="character" w:styleId="nfasisintenso">
    <w:name w:val="Intense Emphasis"/>
    <w:basedOn w:val="Fuentedeprrafopredeter"/>
    <w:uiPriority w:val="21"/>
    <w:qFormat/>
    <w:rsid w:val="009A2773"/>
    <w:rPr>
      <w:i/>
      <w:iCs/>
      <w:color w:val="2F5496" w:themeColor="accent1" w:themeShade="BF"/>
    </w:rPr>
  </w:style>
  <w:style w:type="paragraph" w:styleId="Citadestacada">
    <w:name w:val="Intense Quote"/>
    <w:basedOn w:val="Normal"/>
    <w:next w:val="Normal"/>
    <w:link w:val="CitadestacadaCar"/>
    <w:uiPriority w:val="30"/>
    <w:qFormat/>
    <w:rsid w:val="009A277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es-US"/>
    </w:rPr>
  </w:style>
  <w:style w:type="character" w:customStyle="1" w:styleId="CitadestacadaCar">
    <w:name w:val="Cita destacada Car"/>
    <w:basedOn w:val="Fuentedeprrafopredeter"/>
    <w:link w:val="Citadestacada"/>
    <w:uiPriority w:val="30"/>
    <w:rsid w:val="009A2773"/>
    <w:rPr>
      <w:i/>
      <w:iCs/>
      <w:color w:val="2F5496" w:themeColor="accent1" w:themeShade="BF"/>
    </w:rPr>
  </w:style>
  <w:style w:type="character" w:styleId="Referenciaintensa">
    <w:name w:val="Intense Reference"/>
    <w:basedOn w:val="Fuentedeprrafopredeter"/>
    <w:uiPriority w:val="32"/>
    <w:qFormat/>
    <w:rsid w:val="009A2773"/>
    <w:rPr>
      <w:b/>
      <w:bCs/>
      <w:smallCaps/>
      <w:color w:val="2F5496" w:themeColor="accent1" w:themeShade="BF"/>
      <w:spacing w:val="5"/>
    </w:rPr>
  </w:style>
  <w:style w:type="table" w:styleId="Tablaconcuadrcula">
    <w:name w:val="Table Grid"/>
    <w:basedOn w:val="Tablanormal"/>
    <w:uiPriority w:val="39"/>
    <w:rsid w:val="009A2773"/>
    <w:pPr>
      <w:spacing w:after="0" w:line="240" w:lineRule="auto"/>
    </w:pPr>
    <w:rPr>
      <w:sz w:val="24"/>
      <w:szCs w:val="24"/>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A2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BDA1514BB4D619AD52CE1F0761F8D"/>
        <w:category>
          <w:name w:val="General"/>
          <w:gallery w:val="placeholder"/>
        </w:category>
        <w:types>
          <w:type w:val="bbPlcHdr"/>
        </w:types>
        <w:behaviors>
          <w:behavior w:val="content"/>
        </w:behaviors>
        <w:guid w:val="{972AA093-1072-41E9-B63B-53D1711097FB}"/>
      </w:docPartPr>
      <w:docPartBody>
        <w:p w:rsidR="007B308C" w:rsidRDefault="005F12C8" w:rsidP="005F12C8">
          <w:pPr>
            <w:pStyle w:val="BC5BDA1514BB4D619AD52CE1F0761F8D"/>
          </w:pPr>
          <w:r w:rsidRPr="00254BEB">
            <w:rPr>
              <w:rStyle w:val="Textodelmarcadordeposicin"/>
            </w:rPr>
            <w:t>Choose an item.</w:t>
          </w:r>
        </w:p>
      </w:docPartBody>
    </w:docPart>
    <w:docPart>
      <w:docPartPr>
        <w:name w:val="40A4B1232D61428F82EAC8DB3EDD20B0"/>
        <w:category>
          <w:name w:val="General"/>
          <w:gallery w:val="placeholder"/>
        </w:category>
        <w:types>
          <w:type w:val="bbPlcHdr"/>
        </w:types>
        <w:behaviors>
          <w:behavior w:val="content"/>
        </w:behaviors>
        <w:guid w:val="{A5279697-CB17-483D-99AB-547C0529FD57}"/>
      </w:docPartPr>
      <w:docPartBody>
        <w:p w:rsidR="007B308C" w:rsidRDefault="005F12C8" w:rsidP="005F12C8">
          <w:pPr>
            <w:pStyle w:val="40A4B1232D61428F82EAC8DB3EDD20B0"/>
          </w:pPr>
          <w:r w:rsidRPr="00254BEB">
            <w:rPr>
              <w:rStyle w:val="Textodelmarcadordeposicin"/>
            </w:rPr>
            <w:t>Choose an item.</w:t>
          </w:r>
        </w:p>
      </w:docPartBody>
    </w:docPart>
    <w:docPart>
      <w:docPartPr>
        <w:name w:val="CB93784D1E3340ECB07240875D77FE0D"/>
        <w:category>
          <w:name w:val="General"/>
          <w:gallery w:val="placeholder"/>
        </w:category>
        <w:types>
          <w:type w:val="bbPlcHdr"/>
        </w:types>
        <w:behaviors>
          <w:behavior w:val="content"/>
        </w:behaviors>
        <w:guid w:val="{CAE44349-8E38-46B4-B6ED-A73F4F07C58F}"/>
      </w:docPartPr>
      <w:docPartBody>
        <w:p w:rsidR="007B308C" w:rsidRDefault="005F12C8" w:rsidP="005F12C8">
          <w:pPr>
            <w:pStyle w:val="CB93784D1E3340ECB07240875D77FE0D"/>
          </w:pPr>
          <w:r w:rsidRPr="00254BEB">
            <w:rPr>
              <w:rStyle w:val="Textodelmarcadordeposicin"/>
            </w:rPr>
            <w:t>Choose an item.</w:t>
          </w:r>
        </w:p>
      </w:docPartBody>
    </w:docPart>
    <w:docPart>
      <w:docPartPr>
        <w:name w:val="A68CD5EF5502429DA306B23BA47E6109"/>
        <w:category>
          <w:name w:val="General"/>
          <w:gallery w:val="placeholder"/>
        </w:category>
        <w:types>
          <w:type w:val="bbPlcHdr"/>
        </w:types>
        <w:behaviors>
          <w:behavior w:val="content"/>
        </w:behaviors>
        <w:guid w:val="{62DE364A-1CEF-4998-8F78-D4AEDC6CAC3C}"/>
      </w:docPartPr>
      <w:docPartBody>
        <w:p w:rsidR="007B308C" w:rsidRDefault="005F12C8" w:rsidP="005F12C8">
          <w:pPr>
            <w:pStyle w:val="A68CD5EF5502429DA306B23BA47E6109"/>
          </w:pPr>
          <w:r w:rsidRPr="00254BEB">
            <w:rPr>
              <w:rStyle w:val="Textodelmarcadordeposicin"/>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C8"/>
    <w:rsid w:val="003621FE"/>
    <w:rsid w:val="005F12C8"/>
    <w:rsid w:val="00650FF9"/>
    <w:rsid w:val="007B308C"/>
    <w:rsid w:val="0098305E"/>
    <w:rsid w:val="00E92F5B"/>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F12C8"/>
    <w:rPr>
      <w:color w:val="666666"/>
    </w:rPr>
  </w:style>
  <w:style w:type="paragraph" w:customStyle="1" w:styleId="BC5BDA1514BB4D619AD52CE1F0761F8D">
    <w:name w:val="BC5BDA1514BB4D619AD52CE1F0761F8D"/>
    <w:rsid w:val="005F12C8"/>
  </w:style>
  <w:style w:type="paragraph" w:customStyle="1" w:styleId="40A4B1232D61428F82EAC8DB3EDD20B0">
    <w:name w:val="40A4B1232D61428F82EAC8DB3EDD20B0"/>
    <w:rsid w:val="005F12C8"/>
  </w:style>
  <w:style w:type="paragraph" w:customStyle="1" w:styleId="CB93784D1E3340ECB07240875D77FE0D">
    <w:name w:val="CB93784D1E3340ECB07240875D77FE0D"/>
    <w:rsid w:val="005F12C8"/>
  </w:style>
  <w:style w:type="paragraph" w:customStyle="1" w:styleId="A68CD5EF5502429DA306B23BA47E6109">
    <w:name w:val="A68CD5EF5502429DA306B23BA47E6109"/>
    <w:rsid w:val="005F12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a0ba4e34e1e4a5495a8c99fbdd0d9efa">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cbee07f6a80cc36965434bfe01716994"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9ffee90-265c-465f-a70b-47d3979e4ae6">AYDW7MS43XSZ-237423774-578340</_dlc_DocId>
    <_ip_UnifiedCompliancePolicyUIAction xmlns="http://schemas.microsoft.com/sharepoint/v3" xsi:nil="true"/>
    <_dlc_DocIdUrl xmlns="69ffee90-265c-465f-a70b-47d3979e4ae6">
      <Url>https://ciatorg.sharepoint.com/sites/cds/_layouts/15/DocIdRedir.aspx?ID=AYDW7MS43XSZ-237423774-578340</Url>
      <Description>AYDW7MS43XSZ-237423774-578340</Description>
    </_dlc_DocIdUrl>
    <_ip_UnifiedCompliancePolicyProperties xmlns="http://schemas.microsoft.com/sharepoint/v3" xsi:nil="true"/>
    <lcf76f155ced4ddcb4097134ff3c332f xmlns="68a160cd-ed63-4a95-bc0c-59b4fccbeab8">
      <Terms xmlns="http://schemas.microsoft.com/office/infopath/2007/PartnerControls"/>
    </lcf76f155ced4ddcb4097134ff3c332f>
    <TaxCatchAll xmlns="69ffee90-265c-465f-a70b-47d3979e4ae6" xsi:nil="true"/>
  </documentManagement>
</p:properties>
</file>

<file path=customXml/itemProps1.xml><?xml version="1.0" encoding="utf-8"?>
<ds:datastoreItem xmlns:ds="http://schemas.openxmlformats.org/officeDocument/2006/customXml" ds:itemID="{B7DB3F50-7641-4490-AF17-C8AF1FB7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ffee90-265c-465f-a70b-47d3979e4ae6"/>
    <ds:schemaRef ds:uri="68a160cd-ed63-4a95-bc0c-59b4fccbe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58D6AD-A1AC-41BC-94A3-5DD187B2A1D7}">
  <ds:schemaRefs>
    <ds:schemaRef ds:uri="http://schemas.microsoft.com/sharepoint/events"/>
  </ds:schemaRefs>
</ds:datastoreItem>
</file>

<file path=customXml/itemProps3.xml><?xml version="1.0" encoding="utf-8"?>
<ds:datastoreItem xmlns:ds="http://schemas.openxmlformats.org/officeDocument/2006/customXml" ds:itemID="{514A1C45-266F-4BD6-A532-4369E96CBDCF}">
  <ds:schemaRefs>
    <ds:schemaRef ds:uri="http://schemas.microsoft.com/sharepoint/v3/contenttype/forms"/>
  </ds:schemaRefs>
</ds:datastoreItem>
</file>

<file path=customXml/itemProps4.xml><?xml version="1.0" encoding="utf-8"?>
<ds:datastoreItem xmlns:ds="http://schemas.openxmlformats.org/officeDocument/2006/customXml" ds:itemID="{7075FC3E-4208-4459-B5A1-010FAB534AC3}">
  <ds:schemaRefs>
    <ds:schemaRef ds:uri="http://schemas.microsoft.com/office/2006/metadata/properties"/>
    <ds:schemaRef ds:uri="http://schemas.microsoft.com/office/infopath/2007/PartnerControls"/>
    <ds:schemaRef ds:uri="69ffee90-265c-465f-a70b-47d3979e4ae6"/>
    <ds:schemaRef ds:uri="http://schemas.microsoft.com/sharepoint/v3"/>
    <ds:schemaRef ds:uri="68a160cd-ed63-4a95-bc0c-59b4fccbeab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1282</Words>
  <Characters>7054</Characters>
  <Application>Microsoft Office Word</Application>
  <DocSecurity>0</DocSecurity>
  <Lines>58</Lines>
  <Paragraphs>16</Paragraphs>
  <ScaleCrop>false</ScaleCrop>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Vargas</dc:creator>
  <cp:keywords/>
  <dc:description/>
  <cp:lastModifiedBy>Victor Vargas</cp:lastModifiedBy>
  <cp:revision>3</cp:revision>
  <dcterms:created xsi:type="dcterms:W3CDTF">2026-04-28T21:31:00Z</dcterms:created>
  <dcterms:modified xsi:type="dcterms:W3CDTF">2026-04-28T21:31:00Z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3347c9b6-5c6f-42fe-9d51-dfc1832b7569</vt:lpwstr>
  </property>
  <property fmtid="{D5CDD505-2E9C-101B-9397-08002B2CF9AE}" pid="4" name="MediaServiceImageTags">
    <vt:lpwstr/>
  </property>
</Properties>
</file>