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2" w14:textId="77777777" w:rsidR="00FE18AB" w:rsidRDefault="00FE18AB" w:rsidP="00FE18AB">
      <w:bookmarkStart w:id="0" w:name="_Hlk77076144"/>
    </w:p>
    <w:p w14:paraId="2A5B8122" w14:textId="3463A067" w:rsidR="000724C8" w:rsidRPr="00BD02B4" w:rsidRDefault="00FB2BB1" w:rsidP="00004076">
      <w:pPr>
        <w:pStyle w:val="corte1datos"/>
        <w:ind w:left="3686" w:right="-232"/>
        <w:jc w:val="both"/>
        <w:rPr>
          <w:rFonts w:cs="Arial"/>
          <w:sz w:val="28"/>
          <w:szCs w:val="28"/>
        </w:rPr>
      </w:pPr>
      <w:r w:rsidRPr="00BD02B4">
        <w:rPr>
          <w:rFonts w:cs="Arial"/>
          <w:sz w:val="28"/>
          <w:szCs w:val="28"/>
        </w:rPr>
        <w:t>a</w:t>
      </w:r>
      <w:r w:rsidR="000724C8" w:rsidRPr="00BD02B4">
        <w:rPr>
          <w:rFonts w:cs="Arial"/>
          <w:sz w:val="28"/>
          <w:szCs w:val="28"/>
        </w:rPr>
        <w:t>MPARO EN REVISIÓN 381/2021</w:t>
      </w:r>
    </w:p>
    <w:p w14:paraId="1375C501" w14:textId="77777777" w:rsidR="000724C8" w:rsidRPr="00BD02B4" w:rsidRDefault="000724C8" w:rsidP="00004076">
      <w:pPr>
        <w:pStyle w:val="corte1datos"/>
        <w:ind w:left="3686" w:right="-232"/>
        <w:jc w:val="both"/>
        <w:rPr>
          <w:rFonts w:cs="Arial"/>
          <w:sz w:val="28"/>
          <w:szCs w:val="28"/>
        </w:rPr>
      </w:pPr>
    </w:p>
    <w:p w14:paraId="28136E10" w14:textId="35816A2B" w:rsidR="000724C8" w:rsidRPr="00BD02B4" w:rsidRDefault="000724C8" w:rsidP="00004076">
      <w:pPr>
        <w:pStyle w:val="corte2ponente"/>
        <w:ind w:left="3686" w:right="-232"/>
        <w:jc w:val="both"/>
        <w:rPr>
          <w:rFonts w:cs="Arial"/>
          <w:sz w:val="28"/>
          <w:szCs w:val="28"/>
        </w:rPr>
      </w:pPr>
      <w:r w:rsidRPr="00BD02B4">
        <w:rPr>
          <w:rFonts w:cs="Arial"/>
          <w:sz w:val="28"/>
          <w:szCs w:val="28"/>
        </w:rPr>
        <w:t xml:space="preserve">Recurrente: </w:t>
      </w:r>
      <w:r w:rsidRPr="00BD02B4">
        <w:rPr>
          <w:rFonts w:cs="Arial"/>
          <w:color w:val="FF0000"/>
          <w:sz w:val="28"/>
          <w:szCs w:val="28"/>
        </w:rPr>
        <w:t>TURISMO GARGO, SOCIEDAD ANÓNIMA DE CAPITAL VARIABLE</w:t>
      </w:r>
      <w:r w:rsidR="00FB496F" w:rsidRPr="00BD02B4">
        <w:rPr>
          <w:rFonts w:cs="Arial"/>
          <w:sz w:val="28"/>
          <w:szCs w:val="28"/>
        </w:rPr>
        <w:t>.</w:t>
      </w:r>
    </w:p>
    <w:p w14:paraId="0C722638" w14:textId="77777777" w:rsidR="000724C8" w:rsidRPr="00BD02B4" w:rsidRDefault="000724C8" w:rsidP="00004076">
      <w:pPr>
        <w:pStyle w:val="corte2ponente"/>
        <w:ind w:left="3686" w:right="-232"/>
        <w:jc w:val="both"/>
        <w:rPr>
          <w:rFonts w:cs="Arial"/>
          <w:sz w:val="28"/>
          <w:szCs w:val="28"/>
        </w:rPr>
      </w:pPr>
      <w:r w:rsidRPr="00BD02B4">
        <w:rPr>
          <w:rFonts w:cs="Arial"/>
          <w:sz w:val="28"/>
          <w:szCs w:val="28"/>
        </w:rPr>
        <w:t>RECURRENTE ADHESIVO: PRESIDENTE DE LA REPÚBLICA.</w:t>
      </w:r>
    </w:p>
    <w:p w14:paraId="1230F3FC" w14:textId="77777777" w:rsidR="000724C8" w:rsidRPr="00BD02B4" w:rsidRDefault="000724C8" w:rsidP="00004076">
      <w:pPr>
        <w:pStyle w:val="corte2ponente"/>
        <w:ind w:left="4111" w:right="-232"/>
        <w:jc w:val="both"/>
        <w:rPr>
          <w:rFonts w:cs="Arial"/>
          <w:sz w:val="28"/>
          <w:szCs w:val="28"/>
        </w:rPr>
      </w:pPr>
    </w:p>
    <w:p w14:paraId="7B0CC284" w14:textId="77777777" w:rsidR="000724C8" w:rsidRPr="00BD02B4" w:rsidRDefault="000724C8" w:rsidP="00004076">
      <w:pPr>
        <w:pStyle w:val="corte2ponente"/>
        <w:spacing w:line="360" w:lineRule="auto"/>
        <w:ind w:right="-232"/>
        <w:rPr>
          <w:rFonts w:cs="Arial"/>
          <w:sz w:val="28"/>
          <w:szCs w:val="28"/>
        </w:rPr>
      </w:pPr>
    </w:p>
    <w:p w14:paraId="338F3618" w14:textId="77777777" w:rsidR="000724C8" w:rsidRPr="00BD02B4" w:rsidRDefault="000724C8" w:rsidP="00004076">
      <w:pPr>
        <w:pStyle w:val="corte2ponente"/>
        <w:spacing w:line="360" w:lineRule="auto"/>
        <w:ind w:right="-232"/>
        <w:rPr>
          <w:rFonts w:cs="Arial"/>
          <w:sz w:val="28"/>
          <w:szCs w:val="28"/>
        </w:rPr>
      </w:pPr>
    </w:p>
    <w:bookmarkEnd w:id="0"/>
    <w:p w14:paraId="181AFF2D" w14:textId="77777777" w:rsidR="000724C8" w:rsidRPr="00BD02B4" w:rsidRDefault="000724C8" w:rsidP="00004076">
      <w:pPr>
        <w:tabs>
          <w:tab w:val="left" w:pos="7227"/>
        </w:tabs>
        <w:spacing w:before="240" w:line="276" w:lineRule="auto"/>
        <w:ind w:right="-232"/>
        <w:jc w:val="both"/>
        <w:rPr>
          <w:rFonts w:ascii="Arial" w:eastAsia="Calibri" w:hAnsi="Arial" w:cs="Arial"/>
          <w:lang w:eastAsia="en-US"/>
        </w:rPr>
      </w:pPr>
      <w:r w:rsidRPr="00BD02B4">
        <w:rPr>
          <w:rFonts w:ascii="Arial" w:eastAsia="Calibri" w:hAnsi="Arial" w:cs="Arial"/>
          <w:lang w:eastAsia="en-US"/>
        </w:rPr>
        <w:t>VISTO BUENO</w:t>
      </w:r>
    </w:p>
    <w:p w14:paraId="5EBC2DA0" w14:textId="77777777" w:rsidR="000724C8" w:rsidRPr="00BD02B4" w:rsidRDefault="000724C8" w:rsidP="00004076">
      <w:pPr>
        <w:tabs>
          <w:tab w:val="left" w:pos="7309"/>
        </w:tabs>
        <w:spacing w:line="276" w:lineRule="auto"/>
        <w:ind w:right="-232"/>
        <w:jc w:val="both"/>
        <w:rPr>
          <w:rFonts w:ascii="Arial" w:eastAsia="Calibri" w:hAnsi="Arial" w:cs="Arial"/>
          <w:lang w:eastAsia="en-US"/>
        </w:rPr>
      </w:pPr>
      <w:r w:rsidRPr="00BD02B4">
        <w:rPr>
          <w:rFonts w:ascii="Arial" w:eastAsia="Calibri" w:hAnsi="Arial" w:cs="Arial"/>
          <w:lang w:eastAsia="en-US"/>
        </w:rPr>
        <w:t>SR. MINISTRO</w:t>
      </w:r>
    </w:p>
    <w:p w14:paraId="742F2984" w14:textId="38D37152" w:rsidR="000724C8" w:rsidRPr="00BD02B4" w:rsidRDefault="000724C8" w:rsidP="00004076">
      <w:pPr>
        <w:spacing w:after="60"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 xml:space="preserve">MINISTRO </w:t>
      </w:r>
      <w:r w:rsidR="00FE18AB" w:rsidRPr="00BD02B4">
        <w:rPr>
          <w:rFonts w:ascii="Arial" w:eastAsia="Calibri" w:hAnsi="Arial" w:cs="Arial"/>
          <w:b/>
          <w:sz w:val="28"/>
          <w:szCs w:val="28"/>
          <w:lang w:eastAsia="en-US"/>
        </w:rPr>
        <w:t xml:space="preserve">PONENTE: </w:t>
      </w:r>
      <w:r w:rsidRPr="00BD02B4">
        <w:rPr>
          <w:rFonts w:ascii="Arial" w:eastAsia="Calibri" w:hAnsi="Arial" w:cs="Arial"/>
          <w:b/>
          <w:sz w:val="28"/>
          <w:szCs w:val="28"/>
          <w:lang w:eastAsia="en-US"/>
        </w:rPr>
        <w:t>JORGE MARIO PARDO REBOLLEDO</w:t>
      </w:r>
      <w:r w:rsidR="00C24AE3" w:rsidRPr="00BD02B4">
        <w:rPr>
          <w:rFonts w:ascii="Arial" w:eastAsia="Calibri" w:hAnsi="Arial" w:cs="Arial"/>
          <w:b/>
          <w:sz w:val="28"/>
          <w:szCs w:val="28"/>
          <w:lang w:eastAsia="en-US"/>
        </w:rPr>
        <w:t>.</w:t>
      </w:r>
    </w:p>
    <w:p w14:paraId="5058975A" w14:textId="77777777" w:rsidR="000724C8" w:rsidRPr="00BD02B4" w:rsidRDefault="000724C8" w:rsidP="00004076">
      <w:pPr>
        <w:spacing w:line="276" w:lineRule="auto"/>
        <w:ind w:right="-232"/>
        <w:jc w:val="both"/>
        <w:rPr>
          <w:rFonts w:ascii="Arial" w:eastAsia="Calibri" w:hAnsi="Arial" w:cs="Arial"/>
          <w:lang w:eastAsia="en-US"/>
        </w:rPr>
      </w:pPr>
      <w:r w:rsidRPr="00BD02B4">
        <w:rPr>
          <w:rFonts w:ascii="Arial" w:eastAsia="Calibri" w:hAnsi="Arial" w:cs="Arial"/>
          <w:lang w:eastAsia="en-US"/>
        </w:rPr>
        <w:t>COTEJÓ</w:t>
      </w:r>
    </w:p>
    <w:p w14:paraId="71B32ED6"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SECRETARIA: BRENDA MONTESINOS SOLANO.</w:t>
      </w:r>
    </w:p>
    <w:p w14:paraId="0218AB1A"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COLABORÓ: YOLANDA TORRES SÁNCHEZ.</w:t>
      </w:r>
    </w:p>
    <w:p w14:paraId="0768B288" w14:textId="330D7A49" w:rsidR="000724C8" w:rsidRPr="00BD02B4" w:rsidRDefault="000724C8" w:rsidP="00004076">
      <w:pPr>
        <w:pStyle w:val="corte2ponente"/>
        <w:spacing w:line="360" w:lineRule="auto"/>
        <w:ind w:right="-232"/>
        <w:contextualSpacing/>
        <w:rPr>
          <w:rFonts w:cs="Arial"/>
          <w:sz w:val="28"/>
          <w:szCs w:val="28"/>
        </w:rPr>
      </w:pPr>
    </w:p>
    <w:p w14:paraId="27190C1A" w14:textId="77777777" w:rsidR="00AF0A23" w:rsidRPr="00BD02B4" w:rsidRDefault="00AF0A23" w:rsidP="00004076">
      <w:pPr>
        <w:pStyle w:val="corte2ponente"/>
        <w:spacing w:line="360" w:lineRule="auto"/>
        <w:ind w:right="-232"/>
        <w:contextualSpacing/>
        <w:rPr>
          <w:rFonts w:cs="Arial"/>
          <w:sz w:val="28"/>
          <w:szCs w:val="28"/>
        </w:rPr>
      </w:pPr>
    </w:p>
    <w:p w14:paraId="5695B3B8" w14:textId="196466C9" w:rsidR="000724C8" w:rsidRPr="00BD02B4" w:rsidRDefault="000724C8" w:rsidP="00004076">
      <w:pPr>
        <w:pStyle w:val="corte4fondoCarCar"/>
        <w:ind w:right="-232" w:firstLine="0"/>
        <w:contextualSpacing/>
        <w:rPr>
          <w:rFonts w:cs="Arial"/>
          <w:b/>
          <w:sz w:val="28"/>
          <w:szCs w:val="28"/>
        </w:rPr>
      </w:pPr>
      <w:r w:rsidRPr="00BD02B4">
        <w:rPr>
          <w:rFonts w:cs="Arial"/>
          <w:color w:val="000000"/>
          <w:sz w:val="28"/>
          <w:szCs w:val="28"/>
          <w:lang w:val="es-MX"/>
        </w:rPr>
        <w:t>Ciudad de México. Acuerdo de la Primera Sala de la Suprema Corte de Justicia de la Nación correspondiente al</w:t>
      </w:r>
      <w:r w:rsidR="009E680E" w:rsidRPr="00BD02B4">
        <w:rPr>
          <w:sz w:val="28"/>
          <w:szCs w:val="28"/>
        </w:rPr>
        <w:t xml:space="preserve"> día </w:t>
      </w:r>
      <w:r w:rsidR="000E6EDE" w:rsidRPr="00BD02B4">
        <w:rPr>
          <w:sz w:val="28"/>
          <w:szCs w:val="28"/>
        </w:rPr>
        <w:t>veintinueve</w:t>
      </w:r>
      <w:r w:rsidR="009E680E" w:rsidRPr="00BD02B4">
        <w:rPr>
          <w:sz w:val="28"/>
          <w:szCs w:val="28"/>
        </w:rPr>
        <w:t xml:space="preserve"> de </w:t>
      </w:r>
      <w:r w:rsidR="000E6EDE" w:rsidRPr="00BD02B4">
        <w:rPr>
          <w:sz w:val="28"/>
          <w:szCs w:val="28"/>
        </w:rPr>
        <w:t xml:space="preserve">junio </w:t>
      </w:r>
      <w:r w:rsidR="009E680E" w:rsidRPr="00BD02B4">
        <w:rPr>
          <w:sz w:val="28"/>
          <w:szCs w:val="28"/>
        </w:rPr>
        <w:t>de dos mil veintidós</w:t>
      </w:r>
      <w:r w:rsidRPr="00BD02B4">
        <w:rPr>
          <w:rFonts w:cs="Arial"/>
          <w:sz w:val="28"/>
          <w:szCs w:val="28"/>
        </w:rPr>
        <w:t>, emite la siguiente:</w:t>
      </w:r>
    </w:p>
    <w:p w14:paraId="481C8009" w14:textId="7A199ACB" w:rsidR="000724C8" w:rsidRPr="00BD02B4" w:rsidRDefault="000724C8" w:rsidP="00004076">
      <w:pPr>
        <w:pStyle w:val="corte3centro"/>
        <w:ind w:right="-232"/>
        <w:contextualSpacing/>
        <w:jc w:val="left"/>
        <w:rPr>
          <w:rFonts w:cs="Arial"/>
          <w:color w:val="000000"/>
          <w:sz w:val="28"/>
          <w:szCs w:val="28"/>
        </w:rPr>
      </w:pPr>
    </w:p>
    <w:p w14:paraId="43545F39" w14:textId="77777777" w:rsidR="00025DEB" w:rsidRPr="00BD02B4" w:rsidRDefault="00025DEB" w:rsidP="00004076">
      <w:pPr>
        <w:pStyle w:val="corte3centro"/>
        <w:ind w:right="-232"/>
        <w:contextualSpacing/>
        <w:jc w:val="left"/>
        <w:rPr>
          <w:rFonts w:cs="Arial"/>
          <w:color w:val="000000"/>
          <w:sz w:val="28"/>
          <w:szCs w:val="28"/>
        </w:rPr>
      </w:pPr>
    </w:p>
    <w:p w14:paraId="0868C0E6" w14:textId="77777777" w:rsidR="000724C8" w:rsidRPr="00BD02B4" w:rsidRDefault="000724C8" w:rsidP="00004076">
      <w:pPr>
        <w:pStyle w:val="corte3centro"/>
        <w:ind w:right="-232"/>
        <w:contextualSpacing/>
        <w:rPr>
          <w:rFonts w:cs="Arial"/>
          <w:color w:val="000000"/>
          <w:sz w:val="28"/>
          <w:szCs w:val="28"/>
        </w:rPr>
      </w:pPr>
      <w:r w:rsidRPr="00BD02B4">
        <w:rPr>
          <w:rFonts w:cs="Arial"/>
          <w:color w:val="000000"/>
          <w:sz w:val="28"/>
          <w:szCs w:val="28"/>
        </w:rPr>
        <w:t>SENTENCIA</w:t>
      </w:r>
    </w:p>
    <w:p w14:paraId="35BCF30C" w14:textId="77777777" w:rsidR="000724C8" w:rsidRPr="00BD02B4" w:rsidRDefault="000724C8" w:rsidP="00004076">
      <w:pPr>
        <w:pStyle w:val="corte4fondo"/>
        <w:ind w:right="-232" w:firstLine="0"/>
        <w:contextualSpacing/>
        <w:rPr>
          <w:rFonts w:cs="Arial"/>
          <w:b/>
          <w:color w:val="000000"/>
          <w:sz w:val="28"/>
          <w:szCs w:val="28"/>
          <w:lang w:val="es-MX"/>
        </w:rPr>
      </w:pPr>
    </w:p>
    <w:p w14:paraId="2CC4F5BE" w14:textId="510CE6C1" w:rsidR="000724C8" w:rsidRPr="00BD02B4" w:rsidRDefault="000724C8" w:rsidP="00004076">
      <w:pPr>
        <w:pStyle w:val="corte4fondo"/>
        <w:ind w:right="-232" w:firstLine="0"/>
        <w:contextualSpacing/>
        <w:rPr>
          <w:rFonts w:cs="Arial"/>
          <w:sz w:val="28"/>
          <w:szCs w:val="28"/>
        </w:rPr>
      </w:pPr>
      <w:r w:rsidRPr="00BD02B4">
        <w:rPr>
          <w:rFonts w:cs="Arial"/>
          <w:color w:val="000000"/>
          <w:sz w:val="28"/>
          <w:szCs w:val="28"/>
          <w:lang w:val="es-MX"/>
        </w:rPr>
        <w:t xml:space="preserve">Mediante la cual se resuelve el recurso de revisión </w:t>
      </w:r>
      <w:r w:rsidRPr="00BD02B4">
        <w:rPr>
          <w:rFonts w:cs="Arial"/>
          <w:sz w:val="28"/>
          <w:szCs w:val="28"/>
        </w:rPr>
        <w:t xml:space="preserve">381/2021, interpuesto por </w:t>
      </w:r>
      <w:r w:rsidRPr="00BD02B4">
        <w:rPr>
          <w:rFonts w:cs="Arial"/>
          <w:b/>
          <w:bCs/>
          <w:sz w:val="28"/>
          <w:szCs w:val="28"/>
        </w:rPr>
        <w:t xml:space="preserve">Turismo </w:t>
      </w:r>
      <w:proofErr w:type="spellStart"/>
      <w:r w:rsidRPr="00BD02B4">
        <w:rPr>
          <w:rFonts w:cs="Arial"/>
          <w:b/>
          <w:bCs/>
          <w:sz w:val="28"/>
          <w:szCs w:val="28"/>
        </w:rPr>
        <w:t>Gargo</w:t>
      </w:r>
      <w:proofErr w:type="spellEnd"/>
      <w:r w:rsidRPr="00BD02B4">
        <w:rPr>
          <w:rFonts w:cs="Arial"/>
          <w:b/>
          <w:bCs/>
          <w:sz w:val="28"/>
          <w:szCs w:val="28"/>
        </w:rPr>
        <w:t>, Sociedad Anónima de Capital Variable</w:t>
      </w:r>
      <w:r w:rsidRPr="00BD02B4">
        <w:rPr>
          <w:rFonts w:cs="Arial"/>
          <w:sz w:val="28"/>
          <w:szCs w:val="28"/>
        </w:rPr>
        <w:t xml:space="preserve">, a través de su Apoderado </w:t>
      </w:r>
      <w:r w:rsidR="005F758F" w:rsidRPr="00BD02B4">
        <w:rPr>
          <w:rFonts w:cs="Arial"/>
          <w:color w:val="FF0000"/>
          <w:sz w:val="28"/>
          <w:szCs w:val="28"/>
        </w:rPr>
        <w:t>**********</w:t>
      </w:r>
      <w:r w:rsidRPr="00BD02B4">
        <w:rPr>
          <w:rFonts w:cs="Arial"/>
          <w:sz w:val="28"/>
          <w:szCs w:val="28"/>
        </w:rPr>
        <w:t xml:space="preserve">, en contra de la resolución que dictó el treinta y uno de diciembre de dos mil veinte, por el Juzgado Decimoprimero de Distrito en Materias Administrativa, Civil y de Trabajo en el Estado de Jalisco, con residencia en Zapopan, en el expediente </w:t>
      </w:r>
      <w:proofErr w:type="gramStart"/>
      <w:r w:rsidRPr="00BD02B4">
        <w:rPr>
          <w:rFonts w:cs="Arial"/>
          <w:sz w:val="28"/>
          <w:szCs w:val="28"/>
        </w:rPr>
        <w:t>JA.-</w:t>
      </w:r>
      <w:proofErr w:type="gramEnd"/>
      <w:r w:rsidRPr="00BD02B4">
        <w:rPr>
          <w:rFonts w:cs="Arial"/>
          <w:sz w:val="28"/>
          <w:szCs w:val="28"/>
        </w:rPr>
        <w:t xml:space="preserve"> </w:t>
      </w:r>
      <w:r w:rsidR="000826D3" w:rsidRPr="00BD02B4">
        <w:rPr>
          <w:rFonts w:cs="Arial"/>
          <w:color w:val="FF0000"/>
          <w:sz w:val="28"/>
          <w:szCs w:val="28"/>
        </w:rPr>
        <w:t>**********</w:t>
      </w:r>
      <w:r w:rsidRPr="00BD02B4">
        <w:rPr>
          <w:rFonts w:cs="Arial"/>
          <w:sz w:val="28"/>
          <w:szCs w:val="28"/>
        </w:rPr>
        <w:t>.</w:t>
      </w:r>
    </w:p>
    <w:p w14:paraId="1B144075" w14:textId="77777777" w:rsidR="000724C8" w:rsidRPr="00BD02B4" w:rsidRDefault="000724C8" w:rsidP="00004076">
      <w:pPr>
        <w:pStyle w:val="corte4fondo"/>
        <w:ind w:right="-232" w:firstLine="0"/>
        <w:contextualSpacing/>
        <w:rPr>
          <w:rFonts w:cs="Arial"/>
          <w:sz w:val="28"/>
          <w:szCs w:val="28"/>
        </w:rPr>
      </w:pPr>
    </w:p>
    <w:p w14:paraId="72F99873" w14:textId="5AB4AE1E" w:rsidR="000724C8" w:rsidRPr="00BD02B4" w:rsidRDefault="000724C8" w:rsidP="00004076">
      <w:pPr>
        <w:pStyle w:val="corte4fondo"/>
        <w:ind w:right="-232" w:firstLine="0"/>
        <w:contextualSpacing/>
        <w:rPr>
          <w:rFonts w:cs="Arial"/>
          <w:sz w:val="28"/>
          <w:szCs w:val="28"/>
        </w:rPr>
      </w:pPr>
      <w:r w:rsidRPr="00BD02B4">
        <w:rPr>
          <w:rFonts w:cs="Arial"/>
          <w:sz w:val="28"/>
          <w:szCs w:val="28"/>
        </w:rPr>
        <w:t xml:space="preserve">El problema jurídico a resolver por la Primera Sala de la Suprema Corte de Justicia de la Nación consiste en determinar si el artículo 28 fracción XXXII de la Ley del Impuesto Sobre la Renta en vigor a partir del día uno de enero de dos mil veinte, vulnera los principios de legalidad jurídica, seguridad jurídica, proporcionalidad </w:t>
      </w:r>
      <w:r w:rsidR="00194F13" w:rsidRPr="00BD02B4">
        <w:rPr>
          <w:rFonts w:cs="Arial"/>
          <w:sz w:val="28"/>
          <w:szCs w:val="28"/>
        </w:rPr>
        <w:t xml:space="preserve">y </w:t>
      </w:r>
      <w:r w:rsidRPr="00BD02B4">
        <w:rPr>
          <w:rFonts w:cs="Arial"/>
          <w:sz w:val="28"/>
          <w:szCs w:val="28"/>
        </w:rPr>
        <w:t>equidad tributaria</w:t>
      </w:r>
      <w:r w:rsidR="00194F13" w:rsidRPr="00BD02B4">
        <w:rPr>
          <w:rFonts w:cs="Arial"/>
          <w:sz w:val="28"/>
          <w:szCs w:val="28"/>
        </w:rPr>
        <w:t>s</w:t>
      </w:r>
      <w:r w:rsidRPr="00BD02B4">
        <w:rPr>
          <w:rFonts w:cs="Arial"/>
          <w:sz w:val="28"/>
          <w:szCs w:val="28"/>
        </w:rPr>
        <w:t xml:space="preserve"> y razonabilidad </w:t>
      </w:r>
      <w:r w:rsidRPr="00BD02B4">
        <w:rPr>
          <w:rFonts w:cs="Arial"/>
          <w:sz w:val="28"/>
          <w:szCs w:val="28"/>
        </w:rPr>
        <w:lastRenderedPageBreak/>
        <w:t>legislativa, previstos en los artículos 1°, 14, 16 y 31, fracción IV</w:t>
      </w:r>
      <w:r w:rsidR="00353C69" w:rsidRPr="00BD02B4">
        <w:rPr>
          <w:rFonts w:cs="Arial"/>
          <w:sz w:val="28"/>
          <w:szCs w:val="28"/>
        </w:rPr>
        <w:t>,</w:t>
      </w:r>
      <w:r w:rsidRPr="00BD02B4">
        <w:rPr>
          <w:rFonts w:cs="Arial"/>
          <w:sz w:val="28"/>
          <w:szCs w:val="28"/>
        </w:rPr>
        <w:t xml:space="preserve"> de la Constitución Política de los Estados Unidos Mexicanos.</w:t>
      </w:r>
    </w:p>
    <w:p w14:paraId="6C5A6CB6" w14:textId="77777777" w:rsidR="000724C8" w:rsidRPr="00BD02B4" w:rsidRDefault="000724C8" w:rsidP="00004076">
      <w:pPr>
        <w:pStyle w:val="corte4fondo"/>
        <w:ind w:right="-232"/>
        <w:contextualSpacing/>
        <w:rPr>
          <w:rFonts w:cs="Arial"/>
          <w:sz w:val="28"/>
          <w:szCs w:val="28"/>
        </w:rPr>
      </w:pPr>
    </w:p>
    <w:p w14:paraId="6409628C" w14:textId="77777777" w:rsidR="000724C8" w:rsidRPr="00BD02B4" w:rsidRDefault="000724C8" w:rsidP="00004076">
      <w:pPr>
        <w:pStyle w:val="corte4fondo"/>
        <w:ind w:right="-232" w:firstLine="0"/>
        <w:contextualSpacing/>
        <w:jc w:val="center"/>
        <w:rPr>
          <w:rFonts w:cs="Arial"/>
          <w:b/>
          <w:color w:val="000000"/>
          <w:sz w:val="28"/>
          <w:szCs w:val="28"/>
          <w:lang w:val="es-MX"/>
        </w:rPr>
      </w:pPr>
      <w:r w:rsidRPr="00BD02B4">
        <w:rPr>
          <w:rFonts w:cs="Arial"/>
          <w:b/>
          <w:color w:val="000000"/>
          <w:sz w:val="28"/>
          <w:szCs w:val="28"/>
          <w:lang w:val="es-MX"/>
        </w:rPr>
        <w:t>ANTECEDENTES Y TRÁMITE</w:t>
      </w:r>
    </w:p>
    <w:p w14:paraId="57168C5E" w14:textId="77777777" w:rsidR="000724C8" w:rsidRPr="00BD02B4" w:rsidRDefault="000724C8" w:rsidP="00004076">
      <w:pPr>
        <w:pStyle w:val="corte4fondo"/>
        <w:ind w:left="4150" w:right="-232" w:firstLine="0"/>
        <w:contextualSpacing/>
        <w:jc w:val="left"/>
        <w:rPr>
          <w:rFonts w:cs="Arial"/>
          <w:b/>
          <w:color w:val="000000"/>
          <w:sz w:val="28"/>
          <w:szCs w:val="28"/>
          <w:lang w:val="es-MX"/>
        </w:rPr>
      </w:pPr>
    </w:p>
    <w:p w14:paraId="1713E77D" w14:textId="0C0C75D2"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rPr>
      </w:pPr>
      <w:r w:rsidRPr="00BD02B4">
        <w:rPr>
          <w:rFonts w:cs="Arial"/>
          <w:b/>
          <w:color w:val="000000"/>
          <w:sz w:val="28"/>
          <w:szCs w:val="28"/>
          <w:lang w:val="es-MX"/>
        </w:rPr>
        <w:t xml:space="preserve">Hechos que antecedieron a la demanda de amparo. </w:t>
      </w:r>
      <w:r w:rsidRPr="00BD02B4">
        <w:rPr>
          <w:rFonts w:cs="Arial"/>
          <w:bCs/>
          <w:color w:val="000000"/>
          <w:sz w:val="28"/>
          <w:szCs w:val="28"/>
        </w:rPr>
        <w:t xml:space="preserve">De acuerdo con las constancias que obran en autos del Juicio de Amparo Indirecto </w:t>
      </w:r>
      <w:r w:rsidR="00A35A9F" w:rsidRPr="00BD02B4">
        <w:rPr>
          <w:rFonts w:cs="Arial"/>
          <w:color w:val="FF0000"/>
          <w:sz w:val="28"/>
          <w:szCs w:val="28"/>
        </w:rPr>
        <w:t xml:space="preserve">********** </w:t>
      </w:r>
      <w:r w:rsidRPr="00BD02B4">
        <w:rPr>
          <w:rFonts w:cs="Arial"/>
          <w:bCs/>
          <w:color w:val="000000"/>
          <w:sz w:val="28"/>
          <w:szCs w:val="28"/>
        </w:rPr>
        <w:t>del índice del Juzgado Decimoprimero de Distrito en Materias Administrativa, Civil y de Trabajo en el Estado de Jalisco, con residencia en Zapopan, se desprenden los antecedentes siguientes:</w:t>
      </w:r>
    </w:p>
    <w:p w14:paraId="71A46B1E" w14:textId="77777777" w:rsidR="000724C8" w:rsidRPr="00BD02B4" w:rsidRDefault="000724C8" w:rsidP="00004076">
      <w:pPr>
        <w:pStyle w:val="corte4fondo"/>
        <w:tabs>
          <w:tab w:val="center" w:pos="4420"/>
          <w:tab w:val="left" w:pos="6975"/>
        </w:tabs>
        <w:ind w:right="-232" w:hanging="567"/>
        <w:contextualSpacing/>
        <w:rPr>
          <w:rFonts w:cs="Arial"/>
          <w:bCs/>
          <w:color w:val="000000"/>
          <w:sz w:val="28"/>
          <w:szCs w:val="28"/>
          <w:lang w:val="es-MX"/>
        </w:rPr>
      </w:pPr>
    </w:p>
    <w:p w14:paraId="4BAE4D64" w14:textId="025BA40D"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lang w:val="es-MX"/>
        </w:rPr>
      </w:pPr>
      <w:r w:rsidRPr="00BD02B4">
        <w:rPr>
          <w:rFonts w:cs="Arial"/>
          <w:b/>
          <w:color w:val="000000"/>
          <w:sz w:val="28"/>
          <w:szCs w:val="28"/>
          <w:lang w:val="es-MX"/>
        </w:rPr>
        <w:t>Demanda de amparo.</w:t>
      </w:r>
      <w:r w:rsidRPr="00BD02B4">
        <w:rPr>
          <w:rFonts w:cs="Arial"/>
          <w:bCs/>
          <w:color w:val="000000"/>
          <w:sz w:val="28"/>
          <w:szCs w:val="28"/>
          <w:lang w:val="es-MX"/>
        </w:rPr>
        <w:t xml:space="preserve"> </w:t>
      </w:r>
      <w:r w:rsidRPr="00BD02B4">
        <w:rPr>
          <w:rFonts w:cs="Arial"/>
          <w:sz w:val="28"/>
          <w:szCs w:val="28"/>
        </w:rPr>
        <w:t xml:space="preserve">Por escrito </w:t>
      </w:r>
      <w:r w:rsidRPr="00BD02B4">
        <w:rPr>
          <w:rFonts w:cs="Arial"/>
          <w:bCs/>
          <w:color w:val="000000"/>
          <w:sz w:val="28"/>
          <w:szCs w:val="28"/>
        </w:rPr>
        <w:t>recibido</w:t>
      </w:r>
      <w:r w:rsidRPr="00BD02B4">
        <w:rPr>
          <w:rFonts w:cs="Arial"/>
          <w:sz w:val="28"/>
          <w:szCs w:val="28"/>
        </w:rPr>
        <w:t xml:space="preserve"> el catorce de febrero de dos mil veinte, ante la Oficina de Correspondencia Común de los Juzgados de Distrito en Materia</w:t>
      </w:r>
      <w:r w:rsidR="00BC0175" w:rsidRPr="00BD02B4">
        <w:rPr>
          <w:rFonts w:cs="Arial"/>
          <w:sz w:val="28"/>
          <w:szCs w:val="28"/>
        </w:rPr>
        <w:t>s</w:t>
      </w:r>
      <w:r w:rsidRPr="00BD02B4">
        <w:rPr>
          <w:rFonts w:cs="Arial"/>
          <w:sz w:val="28"/>
          <w:szCs w:val="28"/>
        </w:rPr>
        <w:t xml:space="preserve"> Administrativa</w:t>
      </w:r>
      <w:r w:rsidR="00BC0175" w:rsidRPr="00BD02B4">
        <w:rPr>
          <w:rFonts w:cs="Arial"/>
          <w:sz w:val="28"/>
          <w:szCs w:val="28"/>
        </w:rPr>
        <w:t>,</w:t>
      </w:r>
      <w:r w:rsidRPr="00BD02B4">
        <w:rPr>
          <w:rFonts w:cs="Arial"/>
          <w:sz w:val="28"/>
          <w:szCs w:val="28"/>
        </w:rPr>
        <w:t xml:space="preserve"> Civil y de Trabajo en el Estado de Jalisco,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w:t>
      </w:r>
      <w:r w:rsidRPr="00BD02B4">
        <w:rPr>
          <w:rFonts w:eastAsiaTheme="minorHAnsi" w:cs="Arial"/>
          <w:sz w:val="28"/>
          <w:szCs w:val="28"/>
          <w:lang w:eastAsia="en-US"/>
        </w:rPr>
        <w:t xml:space="preserve">, </w:t>
      </w:r>
      <w:r w:rsidRPr="00BD02B4">
        <w:rPr>
          <w:rFonts w:eastAsiaTheme="minorHAnsi" w:cs="Arial"/>
          <w:color w:val="000000"/>
          <w:sz w:val="28"/>
          <w:szCs w:val="28"/>
          <w:lang w:eastAsia="en-US"/>
        </w:rPr>
        <w:t xml:space="preserve">a través de su apoderado </w:t>
      </w:r>
      <w:r w:rsidR="006833F4" w:rsidRPr="00BD02B4">
        <w:rPr>
          <w:rFonts w:cs="Arial"/>
          <w:color w:val="FF0000"/>
          <w:sz w:val="28"/>
          <w:szCs w:val="28"/>
        </w:rPr>
        <w:t>**********</w:t>
      </w:r>
      <w:r w:rsidRPr="00BD02B4">
        <w:rPr>
          <w:rFonts w:cs="Arial"/>
          <w:sz w:val="28"/>
          <w:szCs w:val="28"/>
        </w:rPr>
        <w:t>, demandó el amparo y protección de la Justicia Federal, en contra de las autoridades y por los actos que a continuación se indican:</w:t>
      </w:r>
    </w:p>
    <w:p w14:paraId="78DBD9F4" w14:textId="77777777" w:rsidR="000724C8" w:rsidRPr="00BD02B4" w:rsidRDefault="000724C8" w:rsidP="00004076">
      <w:pPr>
        <w:spacing w:line="360" w:lineRule="auto"/>
        <w:ind w:right="-232"/>
        <w:contextualSpacing/>
        <w:rPr>
          <w:rFonts w:ascii="Arial" w:hAnsi="Arial" w:cs="Arial"/>
          <w:i/>
          <w:sz w:val="28"/>
          <w:szCs w:val="28"/>
        </w:rPr>
      </w:pPr>
    </w:p>
    <w:p w14:paraId="254563AC" w14:textId="5FE97A2F"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bookmarkStart w:id="1" w:name="_Hlk82505859"/>
      <w:r w:rsidRPr="00BD02B4">
        <w:rPr>
          <w:rFonts w:ascii="Arial" w:eastAsiaTheme="minorHAnsi" w:hAnsi="Arial" w:cs="Arial"/>
          <w:b/>
          <w:bCs/>
          <w:i/>
          <w:sz w:val="28"/>
          <w:szCs w:val="28"/>
          <w:lang w:eastAsia="en-US"/>
        </w:rPr>
        <w:t xml:space="preserve">“III. AUTORIDADES RESPONSABLES: </w:t>
      </w:r>
    </w:p>
    <w:p w14:paraId="1B014DFE" w14:textId="77777777" w:rsidR="00E45830" w:rsidRPr="00BD02B4" w:rsidRDefault="00E45830" w:rsidP="001C398E">
      <w:pPr>
        <w:autoSpaceDE w:val="0"/>
        <w:autoSpaceDN w:val="0"/>
        <w:ind w:left="567" w:right="-232"/>
        <w:contextualSpacing/>
        <w:jc w:val="both"/>
        <w:rPr>
          <w:rFonts w:ascii="Arial" w:eastAsiaTheme="minorHAnsi" w:hAnsi="Arial" w:cs="Arial"/>
          <w:b/>
          <w:bCs/>
          <w:i/>
          <w:sz w:val="28"/>
          <w:szCs w:val="28"/>
          <w:lang w:eastAsia="en-US"/>
        </w:rPr>
      </w:pPr>
    </w:p>
    <w:p w14:paraId="0BB5BC62" w14:textId="7FE55A5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Conforme al artículo 108, fracción III de la Ley de Amparo:</w:t>
      </w:r>
    </w:p>
    <w:p w14:paraId="1CC7C4CD" w14:textId="77777777" w:rsidR="001C398E" w:rsidRPr="00BD02B4" w:rsidRDefault="001C398E" w:rsidP="001C398E">
      <w:pPr>
        <w:autoSpaceDE w:val="0"/>
        <w:autoSpaceDN w:val="0"/>
        <w:ind w:left="567" w:right="-232"/>
        <w:contextualSpacing/>
        <w:jc w:val="both"/>
        <w:rPr>
          <w:rFonts w:ascii="Arial" w:eastAsiaTheme="minorHAnsi" w:hAnsi="Arial" w:cs="Arial"/>
          <w:i/>
          <w:sz w:val="28"/>
          <w:szCs w:val="28"/>
          <w:lang w:eastAsia="en-US"/>
        </w:rPr>
      </w:pPr>
    </w:p>
    <w:p w14:paraId="275C567D"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Senadores del H. Congreso de la Unión.</w:t>
      </w:r>
    </w:p>
    <w:p w14:paraId="1C6ECC35"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Diputados del H. Congreso de la Unión.</w:t>
      </w:r>
    </w:p>
    <w:p w14:paraId="619CDC14"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 xml:space="preserve">El </w:t>
      </w:r>
      <w:proofErr w:type="gramStart"/>
      <w:r w:rsidRPr="00BD02B4">
        <w:rPr>
          <w:rFonts w:ascii="Arial" w:eastAsiaTheme="minorHAnsi" w:hAnsi="Arial" w:cs="Arial"/>
          <w:i/>
          <w:sz w:val="28"/>
          <w:szCs w:val="28"/>
          <w:lang w:eastAsia="en-US"/>
        </w:rPr>
        <w:t>Presidente</w:t>
      </w:r>
      <w:proofErr w:type="gramEnd"/>
      <w:r w:rsidRPr="00BD02B4">
        <w:rPr>
          <w:rFonts w:ascii="Arial" w:eastAsiaTheme="minorHAnsi" w:hAnsi="Arial" w:cs="Arial"/>
          <w:i/>
          <w:sz w:val="28"/>
          <w:szCs w:val="28"/>
          <w:lang w:eastAsia="en-US"/>
        </w:rPr>
        <w:t xml:space="preserve"> de la República.</w:t>
      </w:r>
    </w:p>
    <w:p w14:paraId="59B3C866"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p>
    <w:p w14:paraId="611BE8CA"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r w:rsidRPr="00BD02B4">
        <w:rPr>
          <w:rFonts w:ascii="Arial" w:eastAsiaTheme="minorHAnsi" w:hAnsi="Arial" w:cs="Arial"/>
          <w:bCs/>
          <w:i/>
          <w:sz w:val="28"/>
          <w:szCs w:val="28"/>
          <w:lang w:eastAsia="en-US"/>
        </w:rPr>
        <w:t xml:space="preserve">Esta quejosa considera necesario aclarar a su Señoría que en términos de la última parte de la fracción III del artículo 108 de la Ley de Amparo, no se señalan como autoridades responsables tanto al </w:t>
      </w:r>
      <w:proofErr w:type="gramStart"/>
      <w:r w:rsidRPr="00BD02B4">
        <w:rPr>
          <w:rFonts w:ascii="Arial" w:eastAsiaTheme="minorHAnsi" w:hAnsi="Arial" w:cs="Arial"/>
          <w:b/>
          <w:bCs/>
          <w:i/>
          <w:sz w:val="28"/>
          <w:szCs w:val="28"/>
          <w:u w:val="single"/>
          <w:lang w:eastAsia="en-US"/>
        </w:rPr>
        <w:t>Secretario</w:t>
      </w:r>
      <w:proofErr w:type="gramEnd"/>
      <w:r w:rsidRPr="00BD02B4">
        <w:rPr>
          <w:rFonts w:ascii="Arial" w:eastAsiaTheme="minorHAnsi" w:hAnsi="Arial" w:cs="Arial"/>
          <w:b/>
          <w:bCs/>
          <w:i/>
          <w:sz w:val="28"/>
          <w:szCs w:val="28"/>
          <w:u w:val="single"/>
          <w:lang w:eastAsia="en-US"/>
        </w:rPr>
        <w:t xml:space="preserve"> de Gobernación</w:t>
      </w:r>
      <w:r w:rsidRPr="00BD02B4">
        <w:rPr>
          <w:rFonts w:ascii="Arial" w:eastAsiaTheme="minorHAnsi" w:hAnsi="Arial" w:cs="Arial"/>
          <w:bCs/>
          <w:i/>
          <w:sz w:val="28"/>
          <w:szCs w:val="28"/>
          <w:lang w:eastAsia="en-US"/>
        </w:rPr>
        <w:t xml:space="preserve"> como al </w:t>
      </w:r>
      <w:proofErr w:type="gramStart"/>
      <w:r w:rsidRPr="00BD02B4">
        <w:rPr>
          <w:rFonts w:ascii="Arial" w:eastAsiaTheme="minorHAnsi" w:hAnsi="Arial" w:cs="Arial"/>
          <w:b/>
          <w:bCs/>
          <w:i/>
          <w:sz w:val="28"/>
          <w:szCs w:val="28"/>
          <w:u w:val="single"/>
          <w:lang w:eastAsia="en-US"/>
        </w:rPr>
        <w:t>Director</w:t>
      </w:r>
      <w:proofErr w:type="gramEnd"/>
      <w:r w:rsidRPr="00BD02B4">
        <w:rPr>
          <w:rFonts w:ascii="Arial" w:eastAsiaTheme="minorHAnsi" w:hAnsi="Arial" w:cs="Arial"/>
          <w:b/>
          <w:bCs/>
          <w:i/>
          <w:sz w:val="28"/>
          <w:szCs w:val="28"/>
          <w:u w:val="single"/>
          <w:lang w:eastAsia="en-US"/>
        </w:rPr>
        <w:t xml:space="preserve"> del Diario Oficial de la Federación</w:t>
      </w:r>
      <w:r w:rsidRPr="00BD02B4">
        <w:rPr>
          <w:rFonts w:ascii="Arial" w:eastAsiaTheme="minorHAnsi" w:hAnsi="Arial" w:cs="Arial"/>
          <w:bCs/>
          <w:i/>
          <w:sz w:val="28"/>
          <w:szCs w:val="28"/>
          <w:lang w:eastAsia="en-US"/>
        </w:rPr>
        <w:t xml:space="preserve">, al haberse encargado los mismos del </w:t>
      </w:r>
      <w:r w:rsidRPr="00BD02B4">
        <w:rPr>
          <w:rFonts w:ascii="Arial" w:eastAsiaTheme="minorHAnsi" w:hAnsi="Arial" w:cs="Arial"/>
          <w:b/>
          <w:bCs/>
          <w:i/>
          <w:sz w:val="28"/>
          <w:szCs w:val="28"/>
          <w:u w:val="single"/>
          <w:lang w:eastAsia="en-US"/>
        </w:rPr>
        <w:t>refrendo y publicación</w:t>
      </w:r>
      <w:r w:rsidRPr="00BD02B4">
        <w:rPr>
          <w:rFonts w:ascii="Arial" w:eastAsiaTheme="minorHAnsi" w:hAnsi="Arial" w:cs="Arial"/>
          <w:bCs/>
          <w:i/>
          <w:sz w:val="28"/>
          <w:szCs w:val="28"/>
          <w:lang w:eastAsia="en-US"/>
        </w:rPr>
        <w:t>, respectivamente, de las normas impugnadas en esta demanda, sin que existan vicios propios al respecto.</w:t>
      </w:r>
    </w:p>
    <w:p w14:paraId="06BE7144"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530BF60C"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r w:rsidRPr="00BD02B4">
        <w:rPr>
          <w:rFonts w:ascii="Arial" w:eastAsiaTheme="minorHAnsi" w:hAnsi="Arial" w:cs="Arial"/>
          <w:b/>
          <w:bCs/>
          <w:i/>
          <w:sz w:val="28"/>
          <w:szCs w:val="28"/>
          <w:lang w:eastAsia="en-US"/>
        </w:rPr>
        <w:t>IV. LA NORMA GENERAL, ACTO U OMISIÓN DE QUE CADA AUTORIDAD SE RECLAME:</w:t>
      </w:r>
    </w:p>
    <w:p w14:paraId="0CEB1AFB"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3276C2E3"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bCs/>
          <w:i/>
          <w:sz w:val="28"/>
          <w:szCs w:val="28"/>
          <w:lang w:eastAsia="en-US"/>
        </w:rPr>
        <w:t xml:space="preserve">a) y b).- Del H. Congreso de la Unión (Integrado por la Cámara de Senadores y la Cámara de Diputados): </w:t>
      </w:r>
      <w:r w:rsidRPr="00BD02B4">
        <w:rPr>
          <w:rFonts w:ascii="Arial" w:eastAsiaTheme="minorHAnsi" w:hAnsi="Arial" w:cs="Arial"/>
          <w:i/>
          <w:sz w:val="28"/>
          <w:szCs w:val="28"/>
          <w:lang w:eastAsia="en-US"/>
        </w:rPr>
        <w:t xml:space="preserve">El proceso legislativo, </w:t>
      </w:r>
      <w:r w:rsidRPr="00BD02B4">
        <w:rPr>
          <w:rFonts w:ascii="Arial" w:eastAsiaTheme="minorHAnsi" w:hAnsi="Arial" w:cs="Arial"/>
          <w:i/>
          <w:sz w:val="28"/>
          <w:szCs w:val="28"/>
          <w:lang w:eastAsia="en-US"/>
        </w:rPr>
        <w:lastRenderedPageBreak/>
        <w:t>consistente en la discusión y aprobación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p>
    <w:p w14:paraId="111F3EAE"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p>
    <w:p w14:paraId="76B4663C" w14:textId="20F2911E"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i/>
          <w:sz w:val="28"/>
          <w:szCs w:val="28"/>
          <w:lang w:eastAsia="en-US"/>
        </w:rPr>
        <w:t>c).- Del Presidente de la República:</w:t>
      </w:r>
      <w:r w:rsidRPr="00BD02B4">
        <w:rPr>
          <w:rFonts w:ascii="Arial" w:eastAsiaTheme="minorHAnsi" w:hAnsi="Arial" w:cs="Arial"/>
          <w:i/>
          <w:sz w:val="28"/>
          <w:szCs w:val="28"/>
          <w:lang w:eastAsia="en-US"/>
        </w:rPr>
        <w:t xml:space="preserve"> La promulgación del “Decreto por el que se reforman, </w:t>
      </w:r>
      <w:r w:rsidRPr="00BD02B4">
        <w:rPr>
          <w:rFonts w:ascii="Arial" w:eastAsiaTheme="minorHAnsi" w:hAnsi="Arial" w:cs="Arial"/>
          <w:i/>
          <w:sz w:val="28"/>
          <w:szCs w:val="28"/>
          <w:u w:val="single"/>
          <w:lang w:eastAsia="en-US"/>
        </w:rPr>
        <w:t>adicionan</w:t>
      </w:r>
      <w:r w:rsidRPr="00BD02B4">
        <w:rPr>
          <w:rFonts w:ascii="Arial" w:eastAsiaTheme="minorHAnsi" w:hAnsi="Arial" w:cs="Arial"/>
          <w:i/>
          <w:sz w:val="28"/>
          <w:szCs w:val="28"/>
          <w:lang w:eastAsia="en-US"/>
        </w:rPr>
        <w:t xml:space="preserve">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r w:rsidR="00BC0175" w:rsidRPr="00BD02B4">
        <w:rPr>
          <w:rFonts w:ascii="Arial" w:eastAsiaTheme="minorHAnsi" w:hAnsi="Arial" w:cs="Arial"/>
          <w:i/>
          <w:sz w:val="28"/>
          <w:szCs w:val="28"/>
          <w:lang w:eastAsia="en-US"/>
        </w:rPr>
        <w:t>”</w:t>
      </w:r>
      <w:r w:rsidRPr="00BD02B4">
        <w:rPr>
          <w:rFonts w:ascii="Arial" w:eastAsiaTheme="minorHAnsi" w:hAnsi="Arial" w:cs="Arial"/>
          <w:i/>
          <w:sz w:val="28"/>
          <w:szCs w:val="28"/>
          <w:lang w:eastAsia="en-US"/>
        </w:rPr>
        <w:t>.</w:t>
      </w:r>
    </w:p>
    <w:bookmarkEnd w:id="1"/>
    <w:p w14:paraId="01C30183" w14:textId="77777777" w:rsidR="000724C8" w:rsidRPr="00BD02B4" w:rsidRDefault="000724C8" w:rsidP="00004076">
      <w:pPr>
        <w:pStyle w:val="Prrafodelista"/>
        <w:spacing w:line="360" w:lineRule="auto"/>
        <w:ind w:left="0" w:right="-232" w:hanging="567"/>
        <w:contextualSpacing/>
        <w:rPr>
          <w:rFonts w:ascii="Arial" w:hAnsi="Arial" w:cs="Arial"/>
          <w:b/>
          <w:i/>
          <w:color w:val="000000"/>
          <w:sz w:val="28"/>
          <w:szCs w:val="28"/>
        </w:rPr>
      </w:pPr>
    </w:p>
    <w:p w14:paraId="311DBFDB" w14:textId="525E32AB" w:rsidR="000724C8" w:rsidRPr="00BD02B4" w:rsidRDefault="000724C8" w:rsidP="00004076">
      <w:pPr>
        <w:pStyle w:val="corte4fondo"/>
        <w:numPr>
          <w:ilvl w:val="0"/>
          <w:numId w:val="5"/>
        </w:numPr>
        <w:tabs>
          <w:tab w:val="center" w:pos="4420"/>
          <w:tab w:val="left" w:pos="6975"/>
        </w:tabs>
        <w:ind w:left="0" w:right="-232" w:hanging="567"/>
        <w:contextualSpacing/>
        <w:rPr>
          <w:rFonts w:cs="Arial"/>
          <w:b/>
          <w:color w:val="000000"/>
          <w:sz w:val="28"/>
          <w:szCs w:val="28"/>
          <w:lang w:val="es-MX"/>
        </w:rPr>
      </w:pPr>
      <w:r w:rsidRPr="00BD02B4">
        <w:rPr>
          <w:rFonts w:cs="Arial"/>
          <w:b/>
          <w:color w:val="000000"/>
          <w:sz w:val="28"/>
          <w:szCs w:val="28"/>
          <w:lang w:val="es-MX"/>
        </w:rPr>
        <w:t xml:space="preserve">Sentencia de amparo. </w:t>
      </w:r>
      <w:r w:rsidRPr="00BD02B4">
        <w:rPr>
          <w:rFonts w:cs="Arial"/>
          <w:bCs/>
          <w:sz w:val="28"/>
          <w:szCs w:val="28"/>
        </w:rPr>
        <w:t xml:space="preserve">Por auto de dieciocho de febrero de dos mil veinte, el Juzgado </w:t>
      </w:r>
      <w:r w:rsidR="00231DA9" w:rsidRPr="00BD02B4">
        <w:rPr>
          <w:rFonts w:cs="Arial"/>
          <w:bCs/>
          <w:sz w:val="28"/>
          <w:szCs w:val="28"/>
        </w:rPr>
        <w:t>Decimoprimero</w:t>
      </w:r>
      <w:r w:rsidRPr="00BD02B4">
        <w:rPr>
          <w:rFonts w:cs="Arial"/>
          <w:bCs/>
          <w:sz w:val="28"/>
          <w:szCs w:val="28"/>
        </w:rPr>
        <w:t xml:space="preserve"> de Distrito en Materias Administrativa, Civil y de Trabajo en el Estado de Jalisco, </w:t>
      </w:r>
      <w:r w:rsidRPr="00BD02B4">
        <w:rPr>
          <w:rFonts w:eastAsiaTheme="minorHAnsi" w:cs="Arial"/>
          <w:sz w:val="28"/>
          <w:szCs w:val="28"/>
          <w:lang w:eastAsia="en-US"/>
        </w:rPr>
        <w:t>al</w:t>
      </w:r>
      <w:r w:rsidRPr="00BD02B4">
        <w:rPr>
          <w:rFonts w:cs="Arial"/>
          <w:bCs/>
          <w:sz w:val="28"/>
          <w:szCs w:val="28"/>
        </w:rPr>
        <w:t xml:space="preserve"> que por razón de turno correspondió conocer de la demanda la registró como juicio de amparo indirecto </w:t>
      </w:r>
      <w:r w:rsidR="00C274F4" w:rsidRPr="00BD02B4">
        <w:rPr>
          <w:rFonts w:cs="Arial"/>
          <w:color w:val="FF0000"/>
          <w:sz w:val="28"/>
          <w:szCs w:val="28"/>
        </w:rPr>
        <w:t>**********</w:t>
      </w:r>
      <w:r w:rsidRPr="00BD02B4">
        <w:rPr>
          <w:rFonts w:cs="Arial"/>
          <w:bCs/>
          <w:sz w:val="28"/>
          <w:szCs w:val="28"/>
        </w:rPr>
        <w:t>, admitió a trámite la demanda, solicitó a las autoridades responsables su informe justificado, dio al Agente del Ministerio Público de la Federación adscrito la intervención que legalmente le corresponde (quien no formuló alegato ministerial) y, señaló fecha para la celebración de la audiencia constitucional.</w:t>
      </w:r>
    </w:p>
    <w:p w14:paraId="5D55F00D" w14:textId="77777777" w:rsidR="000724C8" w:rsidRPr="00BD02B4" w:rsidRDefault="000724C8" w:rsidP="00004076">
      <w:pPr>
        <w:spacing w:line="360" w:lineRule="auto"/>
        <w:ind w:right="-232"/>
        <w:contextualSpacing/>
        <w:rPr>
          <w:rFonts w:ascii="Arial" w:hAnsi="Arial" w:cs="Arial"/>
          <w:sz w:val="28"/>
          <w:szCs w:val="28"/>
        </w:rPr>
      </w:pPr>
    </w:p>
    <w:p w14:paraId="44E71C1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eastAsiaTheme="minorHAnsi" w:cs="Arial"/>
          <w:sz w:val="28"/>
          <w:szCs w:val="28"/>
          <w:lang w:eastAsia="en-US"/>
        </w:rPr>
        <w:t>Una vez sustanciado el juicio de amparo indirecto, el Juez de Distrito celebró audiencia constitucional y dictó sentencia el treinta y uno de diciembre de dos mil veinte, que concluyó con el siguiente resolutivo:</w:t>
      </w:r>
    </w:p>
    <w:p w14:paraId="712E1B89" w14:textId="77777777" w:rsidR="000724C8" w:rsidRPr="00BD02B4" w:rsidRDefault="000724C8" w:rsidP="00004076">
      <w:pPr>
        <w:spacing w:line="360" w:lineRule="auto"/>
        <w:ind w:left="567" w:right="-232"/>
        <w:contextualSpacing/>
        <w:rPr>
          <w:rFonts w:ascii="Arial" w:hAnsi="Arial" w:cs="Arial"/>
          <w:sz w:val="28"/>
          <w:szCs w:val="28"/>
        </w:rPr>
      </w:pPr>
    </w:p>
    <w:p w14:paraId="10E34DE9" w14:textId="3E922622" w:rsidR="000724C8" w:rsidRPr="00BD02B4" w:rsidRDefault="000724C8" w:rsidP="00025DEB">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“ÚNICO</w:t>
      </w:r>
      <w:r w:rsidRPr="00BD02B4">
        <w:rPr>
          <w:rFonts w:ascii="Arial" w:eastAsiaTheme="minorHAnsi" w:hAnsi="Arial" w:cs="Arial"/>
          <w:i/>
          <w:iCs/>
          <w:color w:val="000000"/>
          <w:sz w:val="28"/>
          <w:szCs w:val="28"/>
          <w:lang w:eastAsia="en-US"/>
        </w:rPr>
        <w:t xml:space="preserve">. Se </w:t>
      </w:r>
      <w:r w:rsidRPr="00BD02B4">
        <w:rPr>
          <w:rFonts w:ascii="Arial" w:eastAsiaTheme="minorHAnsi" w:hAnsi="Arial" w:cs="Arial"/>
          <w:b/>
          <w:i/>
          <w:iCs/>
          <w:color w:val="000000"/>
          <w:sz w:val="28"/>
          <w:szCs w:val="28"/>
          <w:lang w:eastAsia="en-US"/>
        </w:rPr>
        <w:t xml:space="preserve">sobresee </w:t>
      </w:r>
      <w:r w:rsidRPr="00BD02B4">
        <w:rPr>
          <w:rFonts w:ascii="Arial" w:eastAsiaTheme="minorHAnsi" w:hAnsi="Arial" w:cs="Arial"/>
          <w:bCs/>
          <w:i/>
          <w:iCs/>
          <w:color w:val="000000"/>
          <w:sz w:val="28"/>
          <w:szCs w:val="28"/>
          <w:lang w:eastAsia="en-US"/>
        </w:rPr>
        <w:t>en el juicio</w:t>
      </w:r>
      <w:r w:rsidRPr="00BD02B4">
        <w:rPr>
          <w:rFonts w:ascii="Arial" w:eastAsiaTheme="minorHAnsi" w:hAnsi="Arial" w:cs="Arial"/>
          <w:b/>
          <w:bCs/>
          <w:i/>
          <w:iCs/>
          <w:color w:val="000000"/>
          <w:sz w:val="28"/>
          <w:szCs w:val="28"/>
          <w:lang w:eastAsia="en-US"/>
        </w:rPr>
        <w:t xml:space="preserve"> </w:t>
      </w:r>
      <w:r w:rsidRPr="00BD02B4">
        <w:rPr>
          <w:rFonts w:ascii="Arial" w:eastAsiaTheme="minorHAnsi" w:hAnsi="Arial" w:cs="Arial"/>
          <w:i/>
          <w:iCs/>
          <w:color w:val="000000"/>
          <w:sz w:val="28"/>
          <w:szCs w:val="28"/>
          <w:lang w:eastAsia="en-US"/>
        </w:rPr>
        <w:t xml:space="preserve">de amparo indirecto </w:t>
      </w:r>
      <w:r w:rsidR="000F0D9C"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promovido por </w:t>
      </w:r>
      <w:r w:rsidRPr="00BD02B4">
        <w:rPr>
          <w:rFonts w:ascii="Arial" w:eastAsiaTheme="minorHAnsi" w:hAnsi="Arial" w:cs="Arial"/>
          <w:i/>
          <w:iCs/>
          <w:color w:val="FF0000"/>
          <w:sz w:val="28"/>
          <w:szCs w:val="28"/>
          <w:lang w:eastAsia="en-US"/>
        </w:rPr>
        <w:t xml:space="preserve">Turismo </w:t>
      </w:r>
      <w:proofErr w:type="spellStart"/>
      <w:r w:rsidRPr="00BD02B4">
        <w:rPr>
          <w:rFonts w:ascii="Arial" w:eastAsiaTheme="minorHAnsi" w:hAnsi="Arial" w:cs="Arial"/>
          <w:i/>
          <w:iCs/>
          <w:color w:val="FF0000"/>
          <w:sz w:val="28"/>
          <w:szCs w:val="28"/>
          <w:lang w:eastAsia="en-US"/>
        </w:rPr>
        <w:t>Gargo</w:t>
      </w:r>
      <w:proofErr w:type="spellEnd"/>
      <w:r w:rsidRPr="00BD02B4">
        <w:rPr>
          <w:rFonts w:ascii="Arial" w:eastAsiaTheme="minorHAnsi" w:hAnsi="Arial" w:cs="Arial"/>
          <w:i/>
          <w:iCs/>
          <w:color w:val="FF0000"/>
          <w:sz w:val="28"/>
          <w:szCs w:val="28"/>
          <w:lang w:eastAsia="en-US"/>
        </w:rPr>
        <w:t>, Sociedad Anónima de Capital Variable</w:t>
      </w:r>
      <w:r w:rsidRPr="00BD02B4">
        <w:rPr>
          <w:rFonts w:ascii="Arial" w:eastAsiaTheme="minorHAnsi" w:hAnsi="Arial" w:cs="Arial"/>
          <w:i/>
          <w:iCs/>
          <w:color w:val="000000"/>
          <w:sz w:val="28"/>
          <w:szCs w:val="28"/>
          <w:lang w:eastAsia="en-US"/>
        </w:rPr>
        <w:t xml:space="preserve">, a través de su apoderado </w:t>
      </w:r>
      <w:r w:rsidR="00C343A9" w:rsidRPr="00BD02B4">
        <w:rPr>
          <w:rFonts w:ascii="Arial" w:hAnsi="Arial" w:cs="Arial"/>
          <w:color w:val="FF0000"/>
          <w:sz w:val="28"/>
          <w:szCs w:val="28"/>
        </w:rPr>
        <w:t>**********</w:t>
      </w:r>
      <w:r w:rsidRPr="00BD02B4">
        <w:rPr>
          <w:rFonts w:ascii="Arial" w:eastAsiaTheme="minorHAnsi" w:hAnsi="Arial" w:cs="Arial"/>
          <w:i/>
          <w:iCs/>
          <w:color w:val="FF0000"/>
          <w:sz w:val="28"/>
          <w:szCs w:val="28"/>
          <w:lang w:eastAsia="en-US"/>
        </w:rPr>
        <w:t xml:space="preserve">, </w:t>
      </w:r>
      <w:r w:rsidRPr="00BD02B4">
        <w:rPr>
          <w:rFonts w:ascii="Arial" w:eastAsiaTheme="minorHAnsi" w:hAnsi="Arial" w:cs="Arial"/>
          <w:i/>
          <w:iCs/>
          <w:color w:val="000000"/>
          <w:sz w:val="28"/>
          <w:szCs w:val="28"/>
          <w:lang w:eastAsia="en-US"/>
        </w:rPr>
        <w:t xml:space="preserve">quien se encuentra asesorado por </w:t>
      </w:r>
      <w:r w:rsidR="00672B19"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que también suscribe la demanda, en términos del artículo 2207 del Código Civil del Estado de Jalisco, contra los actos que reclamó de la Cámara de Diputados del Congreso de la Unión, Cámara de Senadores del Congreso de la </w:t>
      </w:r>
      <w:r w:rsidRPr="00BD02B4">
        <w:rPr>
          <w:rFonts w:ascii="Arial" w:eastAsiaTheme="minorHAnsi" w:hAnsi="Arial" w:cs="Arial"/>
          <w:i/>
          <w:iCs/>
          <w:color w:val="000000"/>
          <w:sz w:val="28"/>
          <w:szCs w:val="28"/>
          <w:lang w:eastAsia="en-US"/>
        </w:rPr>
        <w:lastRenderedPageBreak/>
        <w:t>Unión y Presidente de la República, que se precisaron en el considerando segundo, por los motivos expuestos en el considerando último de esta sentencia</w:t>
      </w:r>
      <w:r w:rsidR="00BC0175" w:rsidRPr="00BD02B4">
        <w:rPr>
          <w:rFonts w:ascii="Arial" w:eastAsiaTheme="minorHAnsi" w:hAnsi="Arial" w:cs="Arial"/>
          <w:i/>
          <w:iCs/>
          <w:color w:val="000000"/>
          <w:sz w:val="28"/>
          <w:szCs w:val="28"/>
          <w:lang w:eastAsia="en-US"/>
        </w:rPr>
        <w:t>”</w:t>
      </w:r>
      <w:r w:rsidRPr="00BD02B4">
        <w:rPr>
          <w:rFonts w:ascii="Arial" w:eastAsiaTheme="minorHAnsi" w:hAnsi="Arial" w:cs="Arial"/>
          <w:i/>
          <w:iCs/>
          <w:color w:val="000000"/>
          <w:sz w:val="28"/>
          <w:szCs w:val="28"/>
          <w:lang w:eastAsia="en-US"/>
        </w:rPr>
        <w:t>.</w:t>
      </w:r>
    </w:p>
    <w:p w14:paraId="7B308FED"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110E5E5A" w14:textId="15C73C1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cs="Arial"/>
          <w:b/>
          <w:color w:val="000000"/>
          <w:sz w:val="28"/>
          <w:szCs w:val="28"/>
          <w:lang w:val="es-MX"/>
        </w:rPr>
        <w:t xml:space="preserve">Recurso de revisión. </w:t>
      </w:r>
      <w:r w:rsidRPr="00BD02B4">
        <w:rPr>
          <w:rFonts w:eastAsiaTheme="minorHAnsi" w:cs="Arial"/>
          <w:color w:val="000000"/>
          <w:sz w:val="28"/>
          <w:szCs w:val="28"/>
          <w:lang w:eastAsia="en-US"/>
        </w:rPr>
        <w:t xml:space="preserve">Inconforme con la anterior resolución,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 </w:t>
      </w:r>
      <w:r w:rsidRPr="00BD02B4">
        <w:rPr>
          <w:rFonts w:eastAsiaTheme="minorHAnsi" w:cs="Arial"/>
          <w:color w:val="000000"/>
          <w:sz w:val="28"/>
          <w:szCs w:val="28"/>
          <w:lang w:eastAsia="en-US"/>
        </w:rPr>
        <w:t xml:space="preserve">(a través de su autorizado en amplios términos </w:t>
      </w:r>
      <w:r w:rsidR="00672B19" w:rsidRPr="00BD02B4">
        <w:rPr>
          <w:rFonts w:cs="Arial"/>
          <w:color w:val="FF0000"/>
          <w:sz w:val="28"/>
          <w:szCs w:val="28"/>
        </w:rPr>
        <w:t>**********</w:t>
      </w:r>
      <w:r w:rsidRPr="00BD02B4">
        <w:rPr>
          <w:rFonts w:eastAsiaTheme="minorHAnsi" w:cs="Arial"/>
          <w:color w:val="000000"/>
          <w:sz w:val="28"/>
          <w:szCs w:val="28"/>
          <w:lang w:eastAsia="en-US"/>
        </w:rPr>
        <w:t xml:space="preserve">), mediante escrito presentado </w:t>
      </w:r>
      <w:r w:rsidRPr="00BD02B4">
        <w:rPr>
          <w:rFonts w:eastAsiaTheme="minorHAnsi" w:cs="Arial"/>
          <w:sz w:val="28"/>
          <w:szCs w:val="28"/>
          <w:lang w:eastAsia="en-US"/>
        </w:rPr>
        <w:t xml:space="preserve">el dieciocho de febrero de dos mil veintiuno, </w:t>
      </w:r>
      <w:r w:rsidRPr="00BD02B4">
        <w:rPr>
          <w:rFonts w:eastAsiaTheme="minorHAnsi" w:cs="Arial"/>
          <w:color w:val="000000"/>
          <w:sz w:val="28"/>
          <w:szCs w:val="28"/>
          <w:lang w:eastAsia="en-US"/>
        </w:rPr>
        <w:t>interpuso recurso de revisión.</w:t>
      </w:r>
    </w:p>
    <w:p w14:paraId="6F4661DB" w14:textId="77777777" w:rsidR="000724C8" w:rsidRPr="00BD02B4" w:rsidRDefault="000724C8" w:rsidP="00004076">
      <w:pPr>
        <w:pStyle w:val="corte4fondoCar"/>
        <w:ind w:right="-232" w:firstLine="0"/>
        <w:contextualSpacing/>
        <w:rPr>
          <w:rFonts w:eastAsiaTheme="minorHAnsi" w:cs="Arial"/>
          <w:color w:val="000000"/>
          <w:sz w:val="28"/>
          <w:szCs w:val="28"/>
          <w:lang w:eastAsia="en-US"/>
        </w:rPr>
      </w:pPr>
    </w:p>
    <w:p w14:paraId="7A25137A" w14:textId="49CF4F39"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cuestión de turno, tocó conocer al Quinto Tribunal Colegiado en Materia </w:t>
      </w:r>
      <w:r w:rsidRPr="00BD02B4">
        <w:rPr>
          <w:rFonts w:eastAsiaTheme="minorHAnsi" w:cs="Arial"/>
          <w:sz w:val="28"/>
          <w:szCs w:val="28"/>
          <w:lang w:eastAsia="en-US"/>
        </w:rPr>
        <w:t>Administrativa</w:t>
      </w:r>
      <w:r w:rsidRPr="00BD02B4">
        <w:rPr>
          <w:rFonts w:eastAsiaTheme="minorHAnsi" w:cs="Arial"/>
          <w:color w:val="000000"/>
          <w:sz w:val="28"/>
          <w:szCs w:val="28"/>
          <w:lang w:eastAsia="en-US"/>
        </w:rPr>
        <w:t xml:space="preserve"> del Tercer Circuito; el cual, mediante proveído de veinte de abril de dos mil veintiuno, lo registró como </w:t>
      </w:r>
      <w:r w:rsidRPr="00BD02B4">
        <w:rPr>
          <w:rFonts w:eastAsiaTheme="minorHAnsi" w:cs="Arial"/>
          <w:b/>
          <w:bCs/>
          <w:color w:val="FF0000"/>
          <w:sz w:val="28"/>
          <w:szCs w:val="28"/>
          <w:lang w:eastAsia="en-US"/>
        </w:rPr>
        <w:t xml:space="preserve">R.A. </w:t>
      </w:r>
      <w:r w:rsidR="00672B19" w:rsidRPr="00BD02B4">
        <w:rPr>
          <w:rFonts w:cs="Arial"/>
          <w:color w:val="FF0000"/>
          <w:sz w:val="28"/>
          <w:szCs w:val="28"/>
        </w:rPr>
        <w:t>**********</w:t>
      </w:r>
      <w:r w:rsidRPr="00BD02B4">
        <w:rPr>
          <w:rFonts w:eastAsiaTheme="minorHAnsi" w:cs="Arial"/>
          <w:color w:val="000000"/>
          <w:sz w:val="28"/>
          <w:szCs w:val="28"/>
          <w:lang w:eastAsia="en-US"/>
        </w:rPr>
        <w:t xml:space="preserve">; lo </w:t>
      </w:r>
      <w:r w:rsidRPr="00BD02B4">
        <w:rPr>
          <w:rFonts w:eastAsiaTheme="minorHAnsi" w:cs="Arial"/>
          <w:b/>
          <w:bCs/>
          <w:color w:val="000000"/>
          <w:sz w:val="28"/>
          <w:szCs w:val="28"/>
          <w:lang w:eastAsia="en-US"/>
        </w:rPr>
        <w:t xml:space="preserve">admitió </w:t>
      </w:r>
      <w:r w:rsidRPr="00BD02B4">
        <w:rPr>
          <w:rFonts w:eastAsiaTheme="minorHAnsi" w:cs="Arial"/>
          <w:color w:val="000000"/>
          <w:sz w:val="28"/>
          <w:szCs w:val="28"/>
          <w:lang w:eastAsia="en-US"/>
        </w:rPr>
        <w:t xml:space="preserve">a trámite y se dio al </w:t>
      </w:r>
      <w:r w:rsidRPr="00BD02B4">
        <w:rPr>
          <w:rFonts w:eastAsiaTheme="minorHAnsi" w:cs="Arial"/>
          <w:sz w:val="28"/>
          <w:szCs w:val="28"/>
          <w:lang w:eastAsia="en-US"/>
        </w:rPr>
        <w:t>agente</w:t>
      </w:r>
      <w:r w:rsidRPr="00BD02B4">
        <w:rPr>
          <w:rFonts w:eastAsiaTheme="minorHAnsi" w:cs="Arial"/>
          <w:color w:val="000000"/>
          <w:sz w:val="28"/>
          <w:szCs w:val="28"/>
          <w:lang w:eastAsia="en-US"/>
        </w:rPr>
        <w:t xml:space="preserve"> del Ministerio Público de la Federación adscrito la intervención que legalmente corresponde, quien no formuló pedimento.</w:t>
      </w:r>
    </w:p>
    <w:p w14:paraId="7B693883" w14:textId="77777777" w:rsidR="000724C8" w:rsidRPr="00BD02B4" w:rsidRDefault="000724C8" w:rsidP="00004076">
      <w:pPr>
        <w:pStyle w:val="Prrafodelista"/>
        <w:spacing w:line="360" w:lineRule="auto"/>
        <w:ind w:right="-232"/>
        <w:contextualSpacing/>
        <w:rPr>
          <w:rFonts w:ascii="Arial" w:eastAsiaTheme="minorHAnsi" w:hAnsi="Arial" w:cs="Arial"/>
          <w:color w:val="000000"/>
          <w:sz w:val="28"/>
          <w:szCs w:val="28"/>
          <w:lang w:eastAsia="en-US"/>
        </w:rPr>
      </w:pPr>
    </w:p>
    <w:p w14:paraId="0EA9E9E9"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auto de trece de mayo de dos mil veintiuno se admitió a trámite el recurso de revisión </w:t>
      </w:r>
      <w:r w:rsidRPr="00BD02B4">
        <w:rPr>
          <w:rFonts w:eastAsiaTheme="minorHAnsi" w:cs="Arial"/>
          <w:sz w:val="28"/>
          <w:szCs w:val="28"/>
          <w:lang w:eastAsia="en-US"/>
        </w:rPr>
        <w:t>adhesivo</w:t>
      </w:r>
      <w:r w:rsidRPr="00BD02B4">
        <w:rPr>
          <w:rFonts w:eastAsiaTheme="minorHAnsi" w:cs="Arial"/>
          <w:color w:val="000000"/>
          <w:sz w:val="28"/>
          <w:szCs w:val="28"/>
          <w:lang w:eastAsia="en-US"/>
        </w:rPr>
        <w:t xml:space="preserve"> promovido por el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w:t>
      </w:r>
      <w:proofErr w:type="gramStart"/>
      <w:r w:rsidRPr="00BD02B4">
        <w:rPr>
          <w:rFonts w:eastAsiaTheme="minorHAnsi" w:cs="Arial"/>
          <w:color w:val="000000"/>
          <w:sz w:val="28"/>
          <w:szCs w:val="28"/>
          <w:lang w:eastAsia="en-US"/>
        </w:rPr>
        <w:t>Director General</w:t>
      </w:r>
      <w:proofErr w:type="gramEnd"/>
      <w:r w:rsidRPr="00BD02B4">
        <w:rPr>
          <w:rFonts w:eastAsiaTheme="minorHAnsi" w:cs="Arial"/>
          <w:color w:val="000000"/>
          <w:sz w:val="28"/>
          <w:szCs w:val="28"/>
          <w:lang w:eastAsia="en-US"/>
        </w:rPr>
        <w:t xml:space="preserve"> de Asuntos Contenciosos y Procedimientos, adscrito a la Procuraduría Fiscal de la Federación.</w:t>
      </w:r>
    </w:p>
    <w:p w14:paraId="277F4DE9"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59DCBB4F"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b/>
          <w:sz w:val="28"/>
          <w:szCs w:val="28"/>
        </w:rPr>
      </w:pPr>
      <w:r w:rsidRPr="00BD02B4">
        <w:rPr>
          <w:rFonts w:cs="Arial"/>
          <w:b/>
          <w:color w:val="000000"/>
          <w:sz w:val="28"/>
          <w:szCs w:val="28"/>
          <w:lang w:val="es-MX"/>
        </w:rPr>
        <w:t xml:space="preserve">Recurso de revisión adhesiva. </w:t>
      </w:r>
      <w:r w:rsidRPr="00BD02B4">
        <w:rPr>
          <w:rFonts w:eastAsiaTheme="minorHAnsi" w:cs="Arial"/>
          <w:color w:val="000000"/>
          <w:sz w:val="28"/>
          <w:szCs w:val="28"/>
          <w:lang w:eastAsia="en-US"/>
        </w:rPr>
        <w:t xml:space="preserve">Por oficio presentado electrónicamente el once de mayo de dos mil veintiuno, la autoridad responsable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w:t>
      </w:r>
      <w:proofErr w:type="gramStart"/>
      <w:r w:rsidRPr="00BD02B4">
        <w:rPr>
          <w:rFonts w:eastAsiaTheme="minorHAnsi" w:cs="Arial"/>
          <w:color w:val="000000"/>
          <w:sz w:val="28"/>
          <w:szCs w:val="28"/>
          <w:lang w:eastAsia="en-US"/>
        </w:rPr>
        <w:t>Director General</w:t>
      </w:r>
      <w:proofErr w:type="gramEnd"/>
      <w:r w:rsidRPr="00BD02B4">
        <w:rPr>
          <w:rFonts w:eastAsiaTheme="minorHAnsi" w:cs="Arial"/>
          <w:color w:val="000000"/>
          <w:sz w:val="28"/>
          <w:szCs w:val="28"/>
          <w:lang w:eastAsia="en-US"/>
        </w:rPr>
        <w:t xml:space="preserve"> de Asuntos Contenciosos y Procedimientos, adscrito a la Procuraduría Fiscal de la Federación, interpuso recurso de revisión adhesivo, el cual fue admitido por auto de trece de mayo siguiente.</w:t>
      </w:r>
    </w:p>
    <w:p w14:paraId="040AB379" w14:textId="77777777" w:rsidR="000724C8" w:rsidRPr="00BD02B4" w:rsidRDefault="000724C8" w:rsidP="00004076">
      <w:pPr>
        <w:pStyle w:val="corte4fondo"/>
        <w:tabs>
          <w:tab w:val="center" w:pos="4420"/>
          <w:tab w:val="left" w:pos="6975"/>
        </w:tabs>
        <w:ind w:right="-232" w:firstLine="0"/>
        <w:contextualSpacing/>
        <w:rPr>
          <w:rFonts w:eastAsiaTheme="minorHAnsi" w:cs="Arial"/>
          <w:color w:val="000000"/>
          <w:sz w:val="28"/>
          <w:szCs w:val="28"/>
          <w:lang w:val="es-ES" w:eastAsia="en-US"/>
        </w:rPr>
      </w:pPr>
    </w:p>
    <w:p w14:paraId="2993E0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b/>
          <w:bCs/>
          <w:color w:val="000000"/>
          <w:sz w:val="28"/>
          <w:szCs w:val="28"/>
          <w:lang w:eastAsia="en-US"/>
        </w:rPr>
        <w:t>Resolución del Tribunal Colegiado</w:t>
      </w:r>
      <w:r w:rsidRPr="00BD02B4">
        <w:rPr>
          <w:rFonts w:eastAsiaTheme="minorHAnsi" w:cs="Arial"/>
          <w:color w:val="000000"/>
          <w:sz w:val="28"/>
          <w:szCs w:val="28"/>
          <w:lang w:eastAsia="en-US"/>
        </w:rPr>
        <w:t>.</w:t>
      </w:r>
      <w:r w:rsidRPr="00BD02B4">
        <w:rPr>
          <w:rFonts w:eastAsiaTheme="minorHAnsi" w:cs="Arial"/>
          <w:b/>
          <w:bCs/>
          <w:color w:val="000000"/>
          <w:sz w:val="28"/>
          <w:szCs w:val="28"/>
          <w:lang w:eastAsia="en-US"/>
        </w:rPr>
        <w:t xml:space="preserve"> </w:t>
      </w:r>
      <w:r w:rsidRPr="00BD02B4">
        <w:rPr>
          <w:rFonts w:eastAsiaTheme="minorHAnsi" w:cs="Arial"/>
          <w:color w:val="000000"/>
          <w:sz w:val="28"/>
          <w:szCs w:val="28"/>
          <w:lang w:eastAsia="en-US"/>
        </w:rPr>
        <w:t>El treinta y uno de agosto de dos mil veintiuno, en sesión virtual los Magistrados integrantes del Quinto Tribunal Colegiado en Materia Administrativa del Tercer Circuito, emitieron resolución en los términos siguientes:</w:t>
      </w:r>
    </w:p>
    <w:p w14:paraId="2914B925" w14:textId="77777777" w:rsidR="000724C8" w:rsidRPr="00BD02B4" w:rsidRDefault="000724C8" w:rsidP="00004076">
      <w:pPr>
        <w:pStyle w:val="corte4fondoCar"/>
        <w:ind w:right="-232" w:firstLine="0"/>
        <w:contextualSpacing/>
        <w:rPr>
          <w:rFonts w:eastAsiaTheme="minorHAnsi" w:cs="Arial"/>
          <w:b/>
          <w:i/>
          <w:color w:val="000000"/>
          <w:sz w:val="28"/>
          <w:szCs w:val="28"/>
          <w:lang w:eastAsia="en-US"/>
        </w:rPr>
      </w:pPr>
    </w:p>
    <w:p w14:paraId="1B0F7F3C"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i/>
          <w:color w:val="000000"/>
          <w:sz w:val="28"/>
          <w:szCs w:val="28"/>
          <w:lang w:eastAsia="en-US"/>
        </w:rPr>
        <w:t>“</w:t>
      </w:r>
      <w:r w:rsidRPr="00BD02B4">
        <w:rPr>
          <w:rFonts w:ascii="Arial" w:eastAsiaTheme="minorHAnsi" w:hAnsi="Arial" w:cs="Arial"/>
          <w:b/>
          <w:bCs/>
          <w:i/>
          <w:iCs/>
          <w:color w:val="000000"/>
          <w:sz w:val="28"/>
          <w:szCs w:val="28"/>
          <w:lang w:eastAsia="en-US"/>
        </w:rPr>
        <w:t xml:space="preserve">PRIMERO. </w:t>
      </w:r>
      <w:r w:rsidRPr="00BD02B4">
        <w:rPr>
          <w:rFonts w:ascii="Arial" w:eastAsiaTheme="minorHAnsi" w:hAnsi="Arial" w:cs="Arial"/>
          <w:i/>
          <w:iCs/>
          <w:color w:val="000000"/>
          <w:sz w:val="28"/>
          <w:szCs w:val="28"/>
          <w:lang w:eastAsia="en-US"/>
        </w:rPr>
        <w:t xml:space="preserve">Resulta procedente el presente recurso de revisión principal, así como su adhesivo, pero </w:t>
      </w:r>
      <w:proofErr w:type="gramStart"/>
      <w:r w:rsidRPr="00BD02B4">
        <w:rPr>
          <w:rFonts w:ascii="Arial" w:eastAsiaTheme="minorHAnsi" w:hAnsi="Arial" w:cs="Arial"/>
          <w:i/>
          <w:iCs/>
          <w:color w:val="000000"/>
          <w:sz w:val="28"/>
          <w:szCs w:val="28"/>
          <w:lang w:eastAsia="en-US"/>
        </w:rPr>
        <w:t>éste</w:t>
      </w:r>
      <w:proofErr w:type="gramEnd"/>
      <w:r w:rsidRPr="00BD02B4">
        <w:rPr>
          <w:rFonts w:ascii="Arial" w:eastAsiaTheme="minorHAnsi" w:hAnsi="Arial" w:cs="Arial"/>
          <w:i/>
          <w:iCs/>
          <w:color w:val="000000"/>
          <w:sz w:val="28"/>
          <w:szCs w:val="28"/>
          <w:lang w:eastAsia="en-US"/>
        </w:rPr>
        <w:t xml:space="preserve"> asunto no quedó </w:t>
      </w:r>
      <w:r w:rsidRPr="00BD02B4">
        <w:rPr>
          <w:rFonts w:ascii="Arial" w:eastAsiaTheme="minorHAnsi" w:hAnsi="Arial" w:cs="Arial"/>
          <w:i/>
          <w:iCs/>
          <w:color w:val="000000"/>
          <w:sz w:val="28"/>
          <w:szCs w:val="28"/>
          <w:lang w:eastAsia="en-US"/>
        </w:rPr>
        <w:lastRenderedPageBreak/>
        <w:t>comprendido en los supuestos de competencia delegada previstos en el Punto Cuarto, fracción I, incisos B), C) y D) del Acuerdo General 5/2013 del Tribunal Pleno de la Suprema Corte de Justicia de la Nación.</w:t>
      </w:r>
    </w:p>
    <w:p w14:paraId="3C90DC84"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1C6884E1"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SEGUNDO. </w:t>
      </w:r>
      <w:r w:rsidRPr="00BD02B4">
        <w:rPr>
          <w:rFonts w:ascii="Arial" w:eastAsiaTheme="minorHAnsi" w:hAnsi="Arial" w:cs="Arial"/>
          <w:i/>
          <w:iCs/>
          <w:color w:val="000000"/>
          <w:sz w:val="28"/>
          <w:szCs w:val="28"/>
          <w:lang w:eastAsia="en-US"/>
        </w:rPr>
        <w:t>Este Tribunal Colegiado deja a salvo la jurisdicción de la Suprema Corte de Justicia de la Nación, a la que se remitirán los autos sin analizar los conceptos de violación expuestos contra del artículo 28 fracción XXXII de la Ley del Impuesto Sobre la Renta que entró en vigor el día uno de enero de dos mil veinte; y, por tanto:</w:t>
      </w:r>
    </w:p>
    <w:p w14:paraId="70BE65CE"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53548745" w14:textId="4EB11F3E"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TERCERO. </w:t>
      </w:r>
      <w:r w:rsidRPr="00BD02B4">
        <w:rPr>
          <w:rFonts w:ascii="Arial" w:eastAsiaTheme="minorHAnsi" w:hAnsi="Arial" w:cs="Arial"/>
          <w:i/>
          <w:iCs/>
          <w:color w:val="000000"/>
          <w:sz w:val="28"/>
          <w:szCs w:val="28"/>
          <w:lang w:eastAsia="en-US"/>
        </w:rPr>
        <w:t xml:space="preserve">Remítase a la Suprema Corte de Justicia de la Nación, para los efectos legales correspondientes, este recurso de revisión (y su adhesivo) con los anexos relacionados, interpuesto por la quejosa </w:t>
      </w:r>
      <w:r w:rsidRPr="00BD02B4">
        <w:rPr>
          <w:rFonts w:ascii="Arial" w:eastAsiaTheme="minorHAnsi" w:hAnsi="Arial" w:cs="Arial"/>
          <w:i/>
          <w:iCs/>
          <w:color w:val="FF0000"/>
          <w:sz w:val="28"/>
          <w:szCs w:val="28"/>
          <w:lang w:eastAsia="en-US"/>
        </w:rPr>
        <w:t>“TURISMO GARGO” Sociedad Anónima de Capital Variable</w:t>
      </w:r>
      <w:r w:rsidRPr="00BD02B4">
        <w:rPr>
          <w:rFonts w:ascii="Arial" w:eastAsiaTheme="minorHAnsi" w:hAnsi="Arial" w:cs="Arial"/>
          <w:i/>
          <w:iCs/>
          <w:color w:val="000000"/>
          <w:sz w:val="28"/>
          <w:szCs w:val="28"/>
          <w:lang w:eastAsia="en-US"/>
        </w:rPr>
        <w:t xml:space="preserve">, contra la sentencia de fecha treinta y uno de diciembre de dos mil veinte, relativa al juicio de amparo indirecto </w:t>
      </w:r>
      <w:r w:rsidR="00A3211D" w:rsidRPr="00BD02B4">
        <w:rPr>
          <w:rFonts w:ascii="Arial" w:hAnsi="Arial" w:cs="Arial"/>
          <w:color w:val="FF0000"/>
          <w:sz w:val="28"/>
          <w:szCs w:val="28"/>
        </w:rPr>
        <w:t>**********</w:t>
      </w:r>
      <w:r w:rsidR="00A3211D" w:rsidRPr="00BD02B4">
        <w:rPr>
          <w:rFonts w:cs="Arial"/>
          <w:color w:val="FF0000"/>
          <w:sz w:val="28"/>
          <w:szCs w:val="28"/>
        </w:rPr>
        <w:t xml:space="preserve"> </w:t>
      </w:r>
      <w:r w:rsidRPr="00BD02B4">
        <w:rPr>
          <w:rFonts w:ascii="Arial" w:eastAsiaTheme="minorHAnsi" w:hAnsi="Arial" w:cs="Arial"/>
          <w:i/>
          <w:iCs/>
          <w:color w:val="000000"/>
          <w:sz w:val="28"/>
          <w:szCs w:val="28"/>
          <w:lang w:eastAsia="en-US"/>
        </w:rPr>
        <w:t xml:space="preserve">del </w:t>
      </w:r>
      <w:r w:rsidRPr="00BD02B4">
        <w:rPr>
          <w:rFonts w:ascii="Arial" w:eastAsiaTheme="minorHAnsi" w:hAnsi="Arial" w:cs="Arial"/>
          <w:i/>
          <w:iCs/>
          <w:sz w:val="28"/>
          <w:szCs w:val="28"/>
          <w:lang w:eastAsia="en-US"/>
        </w:rPr>
        <w:t>Juzgado Decimoprimero de Distrito en Materias Administrativa, Civil y de Trabajo en el Estado de Jalisco, en que la Juzgadora titular sobreseyó el asunto.”.</w:t>
      </w:r>
    </w:p>
    <w:p w14:paraId="6CD65095" w14:textId="77777777" w:rsidR="000724C8" w:rsidRPr="00BD02B4" w:rsidRDefault="000724C8" w:rsidP="00004076">
      <w:pPr>
        <w:autoSpaceDE w:val="0"/>
        <w:autoSpaceDN w:val="0"/>
        <w:spacing w:line="360" w:lineRule="auto"/>
        <w:ind w:right="-232"/>
        <w:contextualSpacing/>
        <w:rPr>
          <w:rFonts w:ascii="Arial" w:eastAsiaTheme="minorHAnsi" w:hAnsi="Arial" w:cs="Arial"/>
          <w:color w:val="000000"/>
          <w:sz w:val="28"/>
          <w:szCs w:val="28"/>
          <w:lang w:eastAsia="en-US"/>
        </w:rPr>
      </w:pPr>
    </w:p>
    <w:p w14:paraId="74DE6142" w14:textId="60466026"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color w:val="000000"/>
          <w:sz w:val="28"/>
          <w:szCs w:val="28"/>
          <w:lang w:val="es-ES" w:eastAsia="en-US"/>
        </w:rPr>
        <w:t xml:space="preserve">En esencia, en dicho fallo, se </w:t>
      </w:r>
      <w:r w:rsidR="00364EC2" w:rsidRPr="00BD02B4">
        <w:rPr>
          <w:rFonts w:eastAsiaTheme="minorHAnsi" w:cs="Arial"/>
          <w:color w:val="000000"/>
          <w:sz w:val="28"/>
          <w:szCs w:val="28"/>
          <w:lang w:val="es-ES" w:eastAsia="en-US"/>
        </w:rPr>
        <w:t>revocó</w:t>
      </w:r>
      <w:r w:rsidR="001946AE" w:rsidRPr="00BD02B4">
        <w:rPr>
          <w:rFonts w:eastAsiaTheme="minorHAnsi" w:cs="Arial"/>
          <w:color w:val="000000"/>
          <w:sz w:val="28"/>
          <w:szCs w:val="28"/>
          <w:lang w:val="es-ES" w:eastAsia="en-US"/>
        </w:rPr>
        <w:t xml:space="preserve"> el sobreseimiento decretado en</w:t>
      </w:r>
      <w:r w:rsidRPr="00BD02B4">
        <w:rPr>
          <w:rFonts w:eastAsiaTheme="minorHAnsi" w:cs="Arial"/>
          <w:color w:val="000000"/>
          <w:sz w:val="28"/>
          <w:szCs w:val="28"/>
          <w:lang w:val="es-ES" w:eastAsia="en-US"/>
        </w:rPr>
        <w:t xml:space="preserve"> la sentencia sometida a revisión y se estimó que </w:t>
      </w:r>
      <w:r w:rsidRPr="00BD02B4">
        <w:rPr>
          <w:rFonts w:eastAsiaTheme="minorHAnsi" w:cs="Arial"/>
          <w:sz w:val="28"/>
          <w:szCs w:val="28"/>
          <w:lang w:eastAsia="en-US"/>
        </w:rPr>
        <w:t>el artículo 28 fracción XXXII de la Ley del Impuesto Sobre la Renta en vigor a partir del día uno de enero de dos mil veinte, es</w:t>
      </w:r>
      <w:r w:rsidR="002072E2" w:rsidRPr="00BD02B4">
        <w:rPr>
          <w:rFonts w:eastAsiaTheme="minorHAnsi" w:cs="Arial"/>
          <w:sz w:val="28"/>
          <w:szCs w:val="28"/>
          <w:lang w:eastAsia="en-US"/>
        </w:rPr>
        <w:t xml:space="preserve"> de naturaleza</w:t>
      </w:r>
      <w:r w:rsidRPr="00BD02B4">
        <w:rPr>
          <w:rFonts w:eastAsiaTheme="minorHAnsi" w:cs="Arial"/>
          <w:sz w:val="28"/>
          <w:szCs w:val="28"/>
          <w:lang w:eastAsia="en-US"/>
        </w:rPr>
        <w:t xml:space="preserve"> </w:t>
      </w:r>
      <w:r w:rsidRPr="00BD02B4">
        <w:rPr>
          <w:rFonts w:eastAsiaTheme="minorHAnsi" w:cs="Arial"/>
          <w:i/>
          <w:iCs/>
          <w:sz w:val="28"/>
          <w:szCs w:val="28"/>
          <w:lang w:eastAsia="en-US"/>
        </w:rPr>
        <w:t>“autoaplicativ</w:t>
      </w:r>
      <w:r w:rsidR="002072E2" w:rsidRPr="00BD02B4">
        <w:rPr>
          <w:rFonts w:eastAsiaTheme="minorHAnsi" w:cs="Arial"/>
          <w:i/>
          <w:iCs/>
          <w:sz w:val="28"/>
          <w:szCs w:val="28"/>
          <w:lang w:eastAsia="en-US"/>
        </w:rPr>
        <w:t>a</w:t>
      </w:r>
      <w:r w:rsidRPr="00BD02B4">
        <w:rPr>
          <w:rFonts w:eastAsiaTheme="minorHAnsi" w:cs="Arial"/>
          <w:sz w:val="28"/>
          <w:szCs w:val="28"/>
          <w:lang w:eastAsia="en-US"/>
        </w:rPr>
        <w:t>”, por lo que</w:t>
      </w:r>
      <w:r w:rsidR="00515511" w:rsidRPr="00BD02B4">
        <w:rPr>
          <w:rFonts w:eastAsiaTheme="minorHAnsi" w:cs="Arial"/>
          <w:sz w:val="28"/>
          <w:szCs w:val="28"/>
          <w:lang w:eastAsia="en-US"/>
        </w:rPr>
        <w:t>,</w:t>
      </w:r>
      <w:r w:rsidRPr="00BD02B4">
        <w:rPr>
          <w:rFonts w:eastAsiaTheme="minorHAnsi" w:cs="Arial"/>
          <w:sz w:val="28"/>
          <w:szCs w:val="28"/>
          <w:lang w:eastAsia="en-US"/>
        </w:rPr>
        <w:t xml:space="preserve"> se p</w:t>
      </w:r>
      <w:r w:rsidR="00121C02" w:rsidRPr="00BD02B4">
        <w:rPr>
          <w:rFonts w:eastAsiaTheme="minorHAnsi" w:cs="Arial"/>
          <w:sz w:val="28"/>
          <w:szCs w:val="28"/>
          <w:lang w:eastAsia="en-US"/>
        </w:rPr>
        <w:t>odía</w:t>
      </w:r>
      <w:r w:rsidRPr="00BD02B4">
        <w:rPr>
          <w:rFonts w:eastAsiaTheme="minorHAnsi" w:cs="Arial"/>
          <w:sz w:val="28"/>
          <w:szCs w:val="28"/>
          <w:lang w:eastAsia="en-US"/>
        </w:rPr>
        <w:t xml:space="preserve"> impugnar con motivo de su sola entrada en vigor</w:t>
      </w:r>
      <w:r w:rsidR="00121C02" w:rsidRPr="00BD02B4">
        <w:rPr>
          <w:rFonts w:eastAsiaTheme="minorHAnsi" w:cs="Arial"/>
          <w:sz w:val="28"/>
          <w:szCs w:val="28"/>
          <w:lang w:eastAsia="en-US"/>
        </w:rPr>
        <w:t>,</w:t>
      </w:r>
      <w:r w:rsidRPr="00BD02B4">
        <w:rPr>
          <w:rFonts w:eastAsiaTheme="minorHAnsi" w:cs="Arial"/>
          <w:sz w:val="28"/>
          <w:szCs w:val="28"/>
          <w:lang w:eastAsia="en-US"/>
        </w:rPr>
        <w:t xml:space="preserve"> al no requerir de acto de aplicación.</w:t>
      </w:r>
    </w:p>
    <w:p w14:paraId="52BFB32C" w14:textId="77777777" w:rsidR="00661FBC" w:rsidRPr="00BD02B4" w:rsidRDefault="00661FBC" w:rsidP="00661FBC">
      <w:pPr>
        <w:pStyle w:val="Prrafodelista"/>
        <w:rPr>
          <w:rFonts w:eastAsiaTheme="minorHAnsi" w:cs="Arial"/>
          <w:color w:val="000000"/>
          <w:sz w:val="28"/>
          <w:szCs w:val="28"/>
          <w:lang w:val="es-ES" w:eastAsia="en-US"/>
        </w:rPr>
      </w:pPr>
    </w:p>
    <w:p w14:paraId="23ADDEEA" w14:textId="6077169D" w:rsidR="000724C8" w:rsidRPr="00BD02B4" w:rsidRDefault="002C0C8F" w:rsidP="00004076">
      <w:pPr>
        <w:pStyle w:val="corte4fondo"/>
        <w:numPr>
          <w:ilvl w:val="0"/>
          <w:numId w:val="5"/>
        </w:numPr>
        <w:tabs>
          <w:tab w:val="center" w:pos="4420"/>
          <w:tab w:val="left" w:pos="6975"/>
        </w:tabs>
        <w:ind w:left="0" w:right="-232" w:hanging="567"/>
        <w:contextualSpacing/>
        <w:rPr>
          <w:rFonts w:eastAsiaTheme="minorHAnsi" w:cs="Arial"/>
          <w:sz w:val="28"/>
          <w:szCs w:val="28"/>
          <w:lang w:eastAsia="en-US"/>
        </w:rPr>
      </w:pPr>
      <w:r w:rsidRPr="00BD02B4">
        <w:rPr>
          <w:rFonts w:eastAsiaTheme="minorHAnsi" w:cs="Arial"/>
          <w:color w:val="000000"/>
          <w:sz w:val="28"/>
          <w:szCs w:val="28"/>
          <w:lang w:eastAsia="en-US"/>
        </w:rPr>
        <w:t>De ahí que,</w:t>
      </w:r>
      <w:r w:rsidR="000724C8" w:rsidRPr="00BD02B4">
        <w:rPr>
          <w:rFonts w:eastAsiaTheme="minorHAnsi" w:cs="Arial"/>
          <w:color w:val="000000"/>
          <w:sz w:val="28"/>
          <w:szCs w:val="28"/>
          <w:lang w:eastAsia="en-US"/>
        </w:rPr>
        <w:t xml:space="preserve"> determinó que tanto el recurso de revisión principal como su adhesivo debía</w:t>
      </w:r>
      <w:r w:rsidRPr="00BD02B4">
        <w:rPr>
          <w:rFonts w:eastAsiaTheme="minorHAnsi" w:cs="Arial"/>
          <w:color w:val="000000"/>
          <w:sz w:val="28"/>
          <w:szCs w:val="28"/>
          <w:lang w:eastAsia="en-US"/>
        </w:rPr>
        <w:t>n</w:t>
      </w:r>
      <w:r w:rsidR="000724C8" w:rsidRPr="00BD02B4">
        <w:rPr>
          <w:rFonts w:eastAsiaTheme="minorHAnsi" w:cs="Arial"/>
          <w:color w:val="000000"/>
          <w:sz w:val="28"/>
          <w:szCs w:val="28"/>
          <w:lang w:eastAsia="en-US"/>
        </w:rPr>
        <w:t xml:space="preserve"> ser </w:t>
      </w:r>
      <w:r w:rsidR="000724C8" w:rsidRPr="00BD02B4">
        <w:rPr>
          <w:rFonts w:eastAsiaTheme="minorHAnsi" w:cs="Arial"/>
          <w:sz w:val="28"/>
          <w:szCs w:val="28"/>
          <w:lang w:eastAsia="en-US"/>
        </w:rPr>
        <w:t>remitido</w:t>
      </w:r>
      <w:r w:rsidRPr="00BD02B4">
        <w:rPr>
          <w:rFonts w:eastAsiaTheme="minorHAnsi" w:cs="Arial"/>
          <w:sz w:val="28"/>
          <w:szCs w:val="28"/>
          <w:lang w:eastAsia="en-US"/>
        </w:rPr>
        <w:t>s</w:t>
      </w:r>
      <w:r w:rsidR="000724C8" w:rsidRPr="00BD02B4">
        <w:rPr>
          <w:rFonts w:eastAsiaTheme="minorHAnsi" w:cs="Arial"/>
          <w:color w:val="000000"/>
          <w:sz w:val="28"/>
          <w:szCs w:val="28"/>
          <w:lang w:eastAsia="en-US"/>
        </w:rPr>
        <w:t xml:space="preserve"> a esta </w:t>
      </w:r>
      <w:r w:rsidR="000724C8" w:rsidRPr="00BD02B4">
        <w:rPr>
          <w:rFonts w:eastAsiaTheme="minorHAnsi" w:cs="Arial"/>
          <w:sz w:val="28"/>
          <w:szCs w:val="28"/>
          <w:lang w:eastAsia="en-US"/>
        </w:rPr>
        <w:t>Suprema</w:t>
      </w:r>
      <w:r w:rsidR="000724C8" w:rsidRPr="00BD02B4">
        <w:rPr>
          <w:rFonts w:eastAsiaTheme="minorHAnsi" w:cs="Arial"/>
          <w:color w:val="000000"/>
          <w:sz w:val="28"/>
          <w:szCs w:val="28"/>
          <w:lang w:eastAsia="en-US"/>
        </w:rPr>
        <w:t xml:space="preserve"> Corte de Justicia de la Nación, para pronunciarse sobre la constitucionalidad del citado precepto</w:t>
      </w:r>
      <w:r w:rsidR="000724C8" w:rsidRPr="00BD02B4">
        <w:rPr>
          <w:rFonts w:eastAsiaTheme="minorHAnsi" w:cs="Arial"/>
          <w:sz w:val="28"/>
          <w:szCs w:val="28"/>
          <w:lang w:eastAsia="en-US"/>
        </w:rPr>
        <w:t>, ello al no existir jurisprudencia, ni tres precedentes de este Alto Tribunal no interrumpidos en el mismo sentido que resuelvan el tema planteado.</w:t>
      </w:r>
    </w:p>
    <w:p w14:paraId="604D7499" w14:textId="77777777" w:rsidR="000724C8" w:rsidRPr="00BD02B4" w:rsidRDefault="000724C8" w:rsidP="00004076">
      <w:pPr>
        <w:pStyle w:val="corte4fondo"/>
        <w:tabs>
          <w:tab w:val="center" w:pos="4420"/>
          <w:tab w:val="left" w:pos="6975"/>
        </w:tabs>
        <w:ind w:right="-232" w:firstLine="0"/>
        <w:contextualSpacing/>
        <w:rPr>
          <w:rFonts w:cs="Arial"/>
          <w:b/>
          <w:sz w:val="28"/>
          <w:szCs w:val="28"/>
        </w:rPr>
      </w:pPr>
    </w:p>
    <w:p w14:paraId="167EF743"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
          <w:sz w:val="28"/>
          <w:szCs w:val="28"/>
        </w:rPr>
        <w:t xml:space="preserve">Trámite ante la Suprema Corte de Justicia de la Nación. </w:t>
      </w:r>
      <w:r w:rsidRPr="00BD02B4">
        <w:rPr>
          <w:rFonts w:cs="Arial"/>
          <w:sz w:val="28"/>
          <w:szCs w:val="28"/>
        </w:rPr>
        <w:t xml:space="preserve">Mediante </w:t>
      </w:r>
      <w:r w:rsidRPr="00BD02B4">
        <w:rPr>
          <w:rFonts w:eastAsiaTheme="minorHAnsi" w:cs="Arial"/>
          <w:color w:val="000000"/>
          <w:sz w:val="28"/>
          <w:szCs w:val="28"/>
          <w:lang w:eastAsia="en-US"/>
        </w:rPr>
        <w:t>acuerdo</w:t>
      </w:r>
      <w:r w:rsidRPr="00BD02B4">
        <w:rPr>
          <w:rFonts w:cs="Arial"/>
          <w:sz w:val="28"/>
          <w:szCs w:val="28"/>
        </w:rPr>
        <w:t xml:space="preserve"> de</w:t>
      </w:r>
      <w:r w:rsidRPr="00BD02B4">
        <w:rPr>
          <w:rFonts w:cs="Arial"/>
          <w:bCs/>
          <w:sz w:val="28"/>
          <w:szCs w:val="28"/>
        </w:rPr>
        <w:t xml:space="preserve"> siete de septiembre de dos mil veintiuno, el </w:t>
      </w:r>
      <w:proofErr w:type="gramStart"/>
      <w:r w:rsidRPr="00BD02B4">
        <w:rPr>
          <w:rFonts w:cs="Arial"/>
          <w:bCs/>
          <w:sz w:val="28"/>
          <w:szCs w:val="28"/>
        </w:rPr>
        <w:t>Presidente</w:t>
      </w:r>
      <w:proofErr w:type="gramEnd"/>
      <w:r w:rsidRPr="00BD02B4">
        <w:rPr>
          <w:rFonts w:cs="Arial"/>
          <w:bCs/>
          <w:sz w:val="28"/>
          <w:szCs w:val="28"/>
        </w:rPr>
        <w:t xml:space="preserve"> de esta Suprema Corte de Justicia de la Nación, admitió a </w:t>
      </w:r>
      <w:r w:rsidRPr="00BD02B4">
        <w:rPr>
          <w:rFonts w:cs="Arial"/>
          <w:sz w:val="28"/>
          <w:szCs w:val="28"/>
        </w:rPr>
        <w:t>trámite</w:t>
      </w:r>
      <w:r w:rsidRPr="00BD02B4">
        <w:rPr>
          <w:rFonts w:cs="Arial"/>
          <w:bCs/>
          <w:sz w:val="28"/>
          <w:szCs w:val="28"/>
        </w:rPr>
        <w:t xml:space="preserve"> el recurso de </w:t>
      </w:r>
      <w:r w:rsidRPr="00BD02B4">
        <w:rPr>
          <w:rFonts w:cs="Arial"/>
          <w:bCs/>
          <w:sz w:val="28"/>
          <w:szCs w:val="28"/>
        </w:rPr>
        <w:lastRenderedPageBreak/>
        <w:t xml:space="preserve">revisión hecho valer por el autorizado de la parte quejosa y lo </w:t>
      </w:r>
      <w:r w:rsidRPr="00BD02B4">
        <w:rPr>
          <w:rFonts w:cs="Arial"/>
          <w:sz w:val="28"/>
          <w:szCs w:val="28"/>
        </w:rPr>
        <w:t xml:space="preserve">registró con el número </w:t>
      </w:r>
      <w:r w:rsidRPr="00BD02B4">
        <w:rPr>
          <w:rFonts w:cs="Arial"/>
          <w:b/>
          <w:bCs/>
          <w:sz w:val="28"/>
          <w:szCs w:val="28"/>
        </w:rPr>
        <w:t>381</w:t>
      </w:r>
      <w:r w:rsidRPr="00BD02B4">
        <w:rPr>
          <w:rFonts w:cs="Arial"/>
          <w:b/>
          <w:sz w:val="28"/>
          <w:szCs w:val="28"/>
        </w:rPr>
        <w:t>/</w:t>
      </w:r>
      <w:r w:rsidRPr="00BD02B4">
        <w:rPr>
          <w:rFonts w:cs="Arial"/>
          <w:b/>
          <w:bCs/>
          <w:sz w:val="28"/>
          <w:szCs w:val="28"/>
        </w:rPr>
        <w:t>2021</w:t>
      </w:r>
      <w:r w:rsidRPr="00BD02B4">
        <w:rPr>
          <w:rFonts w:cs="Arial"/>
          <w:bCs/>
          <w:sz w:val="28"/>
          <w:szCs w:val="28"/>
        </w:rPr>
        <w:t>.</w:t>
      </w:r>
    </w:p>
    <w:p w14:paraId="1FE08B7A" w14:textId="77777777" w:rsidR="000724C8" w:rsidRPr="00BD02B4" w:rsidRDefault="000724C8" w:rsidP="00004076">
      <w:pPr>
        <w:pStyle w:val="corte4fondoCar"/>
        <w:ind w:right="-232" w:firstLine="0"/>
        <w:contextualSpacing/>
        <w:rPr>
          <w:rFonts w:cs="Arial"/>
          <w:bCs/>
          <w:sz w:val="28"/>
          <w:szCs w:val="28"/>
        </w:rPr>
      </w:pPr>
    </w:p>
    <w:p w14:paraId="04537B66"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En el propio acuerdo, se turnó el expediente, para su estudio, al </w:t>
      </w:r>
      <w:proofErr w:type="gramStart"/>
      <w:r w:rsidRPr="00BD02B4">
        <w:rPr>
          <w:rFonts w:cs="Arial"/>
          <w:bCs/>
          <w:sz w:val="28"/>
          <w:szCs w:val="28"/>
        </w:rPr>
        <w:t>Ministro</w:t>
      </w:r>
      <w:proofErr w:type="gramEnd"/>
      <w:r w:rsidRPr="00BD02B4">
        <w:rPr>
          <w:rFonts w:cs="Arial"/>
          <w:bCs/>
          <w:sz w:val="28"/>
          <w:szCs w:val="28"/>
        </w:rPr>
        <w:t xml:space="preserve"> Jorge Mario Pardo Rebolledo y se ordenó enviar los autos a la Sala a la que se encuentra adscrito a fin de que la </w:t>
      </w:r>
      <w:proofErr w:type="gramStart"/>
      <w:r w:rsidRPr="00BD02B4">
        <w:rPr>
          <w:rFonts w:cs="Arial"/>
          <w:bCs/>
          <w:sz w:val="28"/>
          <w:szCs w:val="28"/>
        </w:rPr>
        <w:t>Ministra Presidenta</w:t>
      </w:r>
      <w:proofErr w:type="gramEnd"/>
      <w:r w:rsidRPr="00BD02B4">
        <w:rPr>
          <w:rFonts w:cs="Arial"/>
          <w:bCs/>
          <w:sz w:val="28"/>
          <w:szCs w:val="28"/>
        </w:rPr>
        <w:t xml:space="preserve"> de ésta, emitiera el acuerdo de radicación respectivo. </w:t>
      </w:r>
    </w:p>
    <w:p w14:paraId="11B1B4C0" w14:textId="77777777" w:rsidR="000724C8" w:rsidRPr="00BD02B4" w:rsidRDefault="000724C8" w:rsidP="00004076">
      <w:pPr>
        <w:pStyle w:val="corte4fondoCar"/>
        <w:ind w:right="-232" w:firstLine="0"/>
        <w:contextualSpacing/>
        <w:rPr>
          <w:rFonts w:cs="Arial"/>
          <w:b/>
          <w:sz w:val="28"/>
          <w:szCs w:val="28"/>
        </w:rPr>
      </w:pPr>
    </w:p>
    <w:p w14:paraId="696FE22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Mediante acuerdo de dieciocho de noviembre de dos mil veintiuno, la </w:t>
      </w:r>
      <w:proofErr w:type="gramStart"/>
      <w:r w:rsidRPr="00BD02B4">
        <w:rPr>
          <w:rFonts w:cs="Arial"/>
          <w:bCs/>
          <w:sz w:val="28"/>
          <w:szCs w:val="28"/>
        </w:rPr>
        <w:t>Ministra Presidenta</w:t>
      </w:r>
      <w:proofErr w:type="gramEnd"/>
      <w:r w:rsidRPr="00BD02B4">
        <w:rPr>
          <w:rFonts w:cs="Arial"/>
          <w:bCs/>
          <w:sz w:val="28"/>
          <w:szCs w:val="28"/>
        </w:rPr>
        <w:t xml:space="preserve"> de esta Primera Sala dispuso que la misma se avocara al conocimiento del presente asunto, y ordenó enviar los autos a la ponencia del </w:t>
      </w:r>
      <w:proofErr w:type="gramStart"/>
      <w:r w:rsidRPr="00BD02B4">
        <w:rPr>
          <w:rFonts w:cs="Arial"/>
          <w:bCs/>
          <w:sz w:val="28"/>
          <w:szCs w:val="28"/>
        </w:rPr>
        <w:t>Ministro</w:t>
      </w:r>
      <w:proofErr w:type="gramEnd"/>
      <w:r w:rsidRPr="00BD02B4">
        <w:rPr>
          <w:rFonts w:cs="Arial"/>
          <w:bCs/>
          <w:sz w:val="28"/>
          <w:szCs w:val="28"/>
        </w:rPr>
        <w:t xml:space="preserve"> Jorge Mario Pardo Rebolledo, para la elaboración de la resolución correspondiente.</w:t>
      </w:r>
      <w:r w:rsidRPr="00BD02B4">
        <w:rPr>
          <w:rFonts w:cs="Arial"/>
          <w:b/>
          <w:bCs/>
          <w:sz w:val="28"/>
          <w:szCs w:val="28"/>
        </w:rPr>
        <w:t xml:space="preserve"> </w:t>
      </w:r>
    </w:p>
    <w:p w14:paraId="04448336" w14:textId="77777777" w:rsidR="000724C8" w:rsidRPr="00BD02B4" w:rsidRDefault="000724C8" w:rsidP="00004076">
      <w:pPr>
        <w:pStyle w:val="corte4fondo"/>
        <w:ind w:right="-232" w:firstLine="0"/>
        <w:contextualSpacing/>
        <w:rPr>
          <w:rFonts w:cs="Arial"/>
          <w:b/>
          <w:sz w:val="28"/>
          <w:szCs w:val="28"/>
          <w:lang w:val="es-MX"/>
        </w:rPr>
      </w:pPr>
    </w:p>
    <w:p w14:paraId="536A5E32"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COMPETENCIA</w:t>
      </w:r>
    </w:p>
    <w:p w14:paraId="32AC8B1E" w14:textId="77777777" w:rsidR="000724C8" w:rsidRPr="00BD02B4" w:rsidRDefault="000724C8" w:rsidP="00004076">
      <w:pPr>
        <w:pStyle w:val="corte4fondo"/>
        <w:ind w:left="1145" w:right="-232" w:firstLine="0"/>
        <w:contextualSpacing/>
        <w:rPr>
          <w:rFonts w:cs="Arial"/>
          <w:b/>
          <w:sz w:val="28"/>
          <w:szCs w:val="28"/>
          <w:lang w:val="es-MX"/>
        </w:rPr>
      </w:pPr>
    </w:p>
    <w:p w14:paraId="2061C7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lang w:val="es-MX"/>
        </w:rPr>
        <w:t xml:space="preserve">La Primera Sala de la Suprema Corte de Justicia de la Nación es competente para conocer del presente amparo en revisión </w:t>
      </w:r>
      <w:r w:rsidRPr="00BD02B4">
        <w:rPr>
          <w:rFonts w:cs="Arial"/>
          <w:bCs/>
          <w:sz w:val="28"/>
          <w:szCs w:val="28"/>
        </w:rPr>
        <w:t xml:space="preserve">en términos de lo dispuesto en los artículos </w:t>
      </w:r>
      <w:r w:rsidRPr="00BD02B4">
        <w:rPr>
          <w:rFonts w:cs="Arial"/>
          <w:bCs/>
          <w:sz w:val="28"/>
          <w:szCs w:val="28"/>
          <w:lang w:val="es-MX"/>
        </w:rPr>
        <w:t xml:space="preserve">107, fracción VIII, inciso a), de la Constitución Política de los Estados Unidos Mexicanos; 81, fracción I, inciso e) y 83 de la Ley de Amparo en vigor; 10, fracción II, inciso a), 11, fracción V y 21, fracción III, de la Ley Orgánica del Poder Judicial de la Federación; y conforme a lo previsto en los puntos Primero y Tercero del </w:t>
      </w:r>
      <w:r w:rsidRPr="00BD02B4">
        <w:rPr>
          <w:bCs/>
          <w:sz w:val="28"/>
          <w:szCs w:val="28"/>
          <w:lang w:val="es-ES"/>
        </w:rPr>
        <w:t xml:space="preserve">Acuerdo General Plenario 5/2013, punto tercero, en relación con el Segundo, fracción III, publicado en el Diario Oficial de la Federación el veintiuno de mayo de dos mil trece; </w:t>
      </w:r>
      <w:r w:rsidRPr="00BD02B4">
        <w:rPr>
          <w:rFonts w:cs="Arial"/>
          <w:sz w:val="28"/>
          <w:szCs w:val="28"/>
        </w:rPr>
        <w:t xml:space="preserve">en virtud de que el recurso de revisión se interpuso en contra de una sentencia dictada por un Juez de Distrito en un juicio de amparo en materia administrativa, en el que se cuestionó la constitucionalidad del artículo 28, fracción XXXII de la Ley del Impuesto sobre la Renta vigente el uno de enero de dos mil veintiuno. </w:t>
      </w:r>
    </w:p>
    <w:p w14:paraId="622B9B86" w14:textId="77777777" w:rsidR="000724C8" w:rsidRPr="00BD02B4" w:rsidRDefault="000724C8" w:rsidP="00004076">
      <w:pPr>
        <w:pStyle w:val="corte4fondo"/>
        <w:ind w:right="-232" w:firstLine="0"/>
        <w:rPr>
          <w:rFonts w:cs="Arial"/>
          <w:sz w:val="28"/>
          <w:szCs w:val="28"/>
        </w:rPr>
      </w:pPr>
    </w:p>
    <w:p w14:paraId="3DFA4D1B" w14:textId="2DDAE79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sz w:val="28"/>
          <w:szCs w:val="28"/>
          <w:lang w:val="es-MX" w:eastAsia="es-ES"/>
        </w:rPr>
        <w:t xml:space="preserve">Además, se estima pertinente aclarar que, aun cuando el presente amparo en revisión no corresponde a las materias de las que, en forma </w:t>
      </w:r>
      <w:r w:rsidRPr="00BD02B4">
        <w:rPr>
          <w:rFonts w:cs="Arial"/>
          <w:sz w:val="28"/>
          <w:szCs w:val="28"/>
          <w:lang w:val="es-MX" w:eastAsia="es-ES"/>
        </w:rPr>
        <w:lastRenderedPageBreak/>
        <w:t xml:space="preserve">ordinaria, debe conocer esta Primera Sala, en términos de lo dispuesto en el artículo 37 del Reglamento </w:t>
      </w:r>
      <w:r w:rsidRPr="00BD02B4">
        <w:rPr>
          <w:rFonts w:cs="Arial"/>
          <w:bCs/>
          <w:sz w:val="28"/>
          <w:szCs w:val="28"/>
        </w:rPr>
        <w:t>Interior</w:t>
      </w:r>
      <w:r w:rsidRPr="00BD02B4">
        <w:rPr>
          <w:rFonts w:cs="Arial"/>
          <w:sz w:val="28"/>
          <w:szCs w:val="28"/>
          <w:lang w:val="es-MX" w:eastAsia="es-ES"/>
        </w:rPr>
        <w:t xml:space="preserve"> de la Suprema Corte de Justicia de la Nación, ello no es obstáculo para que resulte competente para conocer del asunto, pues el párrafo primero del artículo 86 del citado reglamento, dispone que -al igual que los amparos directos en revisión- los amparos en revisión de la competencia originaria del Pleno, que sean en materia administrativa, se turnarán a los Ministros de ambas Salas, de manera que sí el recurso que nos ocupa se turnó a un Ministro adscrito a esta Primera Sala y no existe solicitud de diverso Ministro para que lo resuelva el Pleno, entonces en términos de lo dispuesto en el punto Tercero del Acuerdo Plenario 5/2013, esta Sala debe a</w:t>
      </w:r>
      <w:r w:rsidR="00BC0175" w:rsidRPr="00BD02B4">
        <w:rPr>
          <w:rFonts w:cs="Arial"/>
          <w:sz w:val="28"/>
          <w:szCs w:val="28"/>
          <w:lang w:val="es-MX" w:eastAsia="es-ES"/>
        </w:rPr>
        <w:t>v</w:t>
      </w:r>
      <w:r w:rsidRPr="00BD02B4">
        <w:rPr>
          <w:rFonts w:cs="Arial"/>
          <w:sz w:val="28"/>
          <w:szCs w:val="28"/>
          <w:lang w:val="es-MX" w:eastAsia="es-ES"/>
        </w:rPr>
        <w:t>ocarse al mismo.</w:t>
      </w:r>
    </w:p>
    <w:p w14:paraId="466CCE17" w14:textId="77777777" w:rsidR="000724C8" w:rsidRPr="00BD02B4" w:rsidRDefault="000724C8" w:rsidP="00004076">
      <w:pPr>
        <w:pStyle w:val="corte4fondo"/>
        <w:ind w:right="-232" w:firstLine="0"/>
        <w:contextualSpacing/>
        <w:rPr>
          <w:rFonts w:cs="Arial"/>
          <w:bCs/>
          <w:sz w:val="28"/>
          <w:szCs w:val="28"/>
        </w:rPr>
      </w:pPr>
    </w:p>
    <w:p w14:paraId="572B148E"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OPORTUNIDAD</w:t>
      </w:r>
    </w:p>
    <w:p w14:paraId="2AC08160" w14:textId="77777777" w:rsidR="000724C8" w:rsidRPr="00BD02B4" w:rsidRDefault="000724C8" w:rsidP="00004076">
      <w:pPr>
        <w:pStyle w:val="corte4fondo"/>
        <w:ind w:right="-232" w:firstLine="0"/>
        <w:contextualSpacing/>
        <w:rPr>
          <w:rFonts w:cs="Arial"/>
          <w:b/>
          <w:sz w:val="28"/>
          <w:szCs w:val="28"/>
          <w:lang w:val="es-MX"/>
        </w:rPr>
      </w:pPr>
      <w:bookmarkStart w:id="2" w:name="_Hlk82505950"/>
    </w:p>
    <w:p w14:paraId="36300808" w14:textId="41F35C67" w:rsidR="000724C8" w:rsidRPr="00BD02B4" w:rsidRDefault="000724C8" w:rsidP="00004076">
      <w:pPr>
        <w:pStyle w:val="corte4fondo"/>
        <w:numPr>
          <w:ilvl w:val="0"/>
          <w:numId w:val="5"/>
        </w:numPr>
        <w:ind w:left="0" w:right="-232" w:hanging="567"/>
        <w:contextualSpacing/>
        <w:rPr>
          <w:rFonts w:cs="Arial"/>
          <w:b/>
          <w:sz w:val="28"/>
          <w:szCs w:val="28"/>
          <w:lang w:val="es-MX"/>
        </w:rPr>
      </w:pPr>
      <w:r w:rsidRPr="00BD02B4">
        <w:rPr>
          <w:rFonts w:cs="Arial"/>
          <w:sz w:val="28"/>
          <w:szCs w:val="28"/>
        </w:rPr>
        <w:t>No es necesario analizar la oportunidad tanto del recurso de revisión principal, como del recurso de revisión adhesivo, pues el Tribunal Colegiado las examinó y determinó que fueron interpuestos oportunamente</w:t>
      </w:r>
      <w:r w:rsidR="00BC0175" w:rsidRPr="00BD02B4">
        <w:rPr>
          <w:rFonts w:cs="Arial"/>
          <w:sz w:val="28"/>
          <w:szCs w:val="28"/>
        </w:rPr>
        <w:t>.</w:t>
      </w:r>
      <w:r w:rsidRPr="00BD02B4">
        <w:rPr>
          <w:rFonts w:cs="Arial"/>
          <w:sz w:val="28"/>
          <w:szCs w:val="28"/>
        </w:rPr>
        <w:t xml:space="preserve"> </w:t>
      </w:r>
      <w:bookmarkEnd w:id="2"/>
    </w:p>
    <w:p w14:paraId="6BB0F1AC" w14:textId="77777777" w:rsidR="000724C8" w:rsidRPr="00BD02B4" w:rsidRDefault="000724C8" w:rsidP="00004076">
      <w:pPr>
        <w:pStyle w:val="corte4fondo"/>
        <w:ind w:left="-284" w:right="-232"/>
        <w:contextualSpacing/>
        <w:jc w:val="center"/>
        <w:rPr>
          <w:rFonts w:cs="Arial"/>
          <w:b/>
          <w:sz w:val="28"/>
          <w:szCs w:val="28"/>
          <w:lang w:val="es-MX"/>
        </w:rPr>
      </w:pPr>
    </w:p>
    <w:p w14:paraId="7E343A5C"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LEGITIMACIÓN</w:t>
      </w:r>
    </w:p>
    <w:p w14:paraId="34AFC466" w14:textId="77777777" w:rsidR="000724C8" w:rsidRPr="00BD02B4" w:rsidRDefault="000724C8" w:rsidP="00004076">
      <w:pPr>
        <w:pStyle w:val="corte4fondo"/>
        <w:ind w:left="1145" w:right="-232" w:firstLine="0"/>
        <w:rPr>
          <w:rFonts w:cs="Arial"/>
          <w:b/>
          <w:sz w:val="28"/>
          <w:szCs w:val="28"/>
          <w:lang w:val="es-MX"/>
        </w:rPr>
      </w:pPr>
    </w:p>
    <w:p w14:paraId="560E42F6" w14:textId="77777777" w:rsidR="000724C8" w:rsidRPr="00BD02B4" w:rsidRDefault="000724C8" w:rsidP="00004076">
      <w:pPr>
        <w:pStyle w:val="corte4fondo"/>
        <w:numPr>
          <w:ilvl w:val="0"/>
          <w:numId w:val="5"/>
        </w:numPr>
        <w:ind w:left="0" w:right="-232" w:hanging="567"/>
        <w:rPr>
          <w:rFonts w:cs="Arial"/>
          <w:b/>
          <w:sz w:val="28"/>
          <w:szCs w:val="28"/>
          <w:lang w:val="es-MX"/>
        </w:rPr>
      </w:pPr>
      <w:r w:rsidRPr="00BD02B4">
        <w:rPr>
          <w:sz w:val="28"/>
          <w:szCs w:val="28"/>
        </w:rPr>
        <w:t>No es necesario analizar la legitimación tanto del recurso de revisión principal, como del recurso de revisión adhesivo, pues el Tribunal Colegiado las examinó y determinó que fueron interpuestos por personas facultadas para ello.</w:t>
      </w:r>
    </w:p>
    <w:p w14:paraId="210AE4BA" w14:textId="77777777" w:rsidR="00624B96" w:rsidRPr="00BD02B4" w:rsidRDefault="00624B96" w:rsidP="00004076">
      <w:pPr>
        <w:pStyle w:val="corte4fondo"/>
        <w:ind w:left="-284" w:right="-232"/>
        <w:jc w:val="center"/>
        <w:rPr>
          <w:rFonts w:cs="Arial"/>
          <w:b/>
          <w:sz w:val="28"/>
          <w:szCs w:val="28"/>
          <w:lang w:val="es-MX"/>
        </w:rPr>
      </w:pPr>
    </w:p>
    <w:p w14:paraId="35EED0C2"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 PROCEDENCIA</w:t>
      </w:r>
    </w:p>
    <w:p w14:paraId="25CB8037" w14:textId="77777777" w:rsidR="000724C8" w:rsidRPr="00BD02B4" w:rsidRDefault="000724C8" w:rsidP="00004076">
      <w:pPr>
        <w:pStyle w:val="corte4fondo"/>
        <w:ind w:right="-232"/>
        <w:rPr>
          <w:rFonts w:cs="Arial"/>
          <w:bCs/>
          <w:sz w:val="28"/>
          <w:szCs w:val="28"/>
        </w:rPr>
      </w:pPr>
    </w:p>
    <w:p w14:paraId="0B027A60" w14:textId="77777777" w:rsidR="000724C8" w:rsidRPr="00BD02B4" w:rsidRDefault="000724C8" w:rsidP="00004076">
      <w:pPr>
        <w:pStyle w:val="corte4fondo"/>
        <w:numPr>
          <w:ilvl w:val="0"/>
          <w:numId w:val="5"/>
        </w:numPr>
        <w:ind w:left="0" w:right="-232" w:hanging="567"/>
        <w:rPr>
          <w:rFonts w:cs="Arial"/>
          <w:sz w:val="28"/>
          <w:szCs w:val="28"/>
          <w:lang w:val="es-MX"/>
        </w:rPr>
      </w:pPr>
      <w:r w:rsidRPr="00BD02B4">
        <w:rPr>
          <w:rFonts w:cs="Arial"/>
          <w:sz w:val="28"/>
          <w:szCs w:val="28"/>
          <w:lang w:val="es-MX"/>
        </w:rPr>
        <w:t xml:space="preserve">Tanto el Juzgado de Distrito como el Tribunal Colegiado del conocimiento, </w:t>
      </w:r>
      <w:r w:rsidRPr="00BD02B4">
        <w:rPr>
          <w:rFonts w:cs="Arial"/>
          <w:bCs/>
          <w:sz w:val="28"/>
          <w:szCs w:val="28"/>
        </w:rPr>
        <w:t xml:space="preserve">se avocaron al estudio de las causales de improcedencia hechas valer </w:t>
      </w:r>
      <w:r w:rsidRPr="00BD02B4">
        <w:rPr>
          <w:rFonts w:cs="Arial"/>
          <w:bCs/>
          <w:sz w:val="28"/>
          <w:szCs w:val="28"/>
        </w:rPr>
        <w:lastRenderedPageBreak/>
        <w:t>por el</w:t>
      </w:r>
      <w:r w:rsidRPr="00BD02B4">
        <w:rPr>
          <w:rFonts w:cs="Arial"/>
          <w:i/>
          <w:iCs/>
          <w:sz w:val="28"/>
          <w:szCs w:val="28"/>
        </w:rPr>
        <w:t xml:space="preserve"> </w:t>
      </w:r>
      <w:proofErr w:type="gramStart"/>
      <w:r w:rsidRPr="00BD02B4">
        <w:rPr>
          <w:rFonts w:cs="Arial"/>
          <w:sz w:val="28"/>
          <w:szCs w:val="28"/>
          <w:lang w:val="es-MX"/>
        </w:rPr>
        <w:t>Presidente</w:t>
      </w:r>
      <w:proofErr w:type="gramEnd"/>
      <w:r w:rsidRPr="00BD02B4">
        <w:rPr>
          <w:rFonts w:cs="Arial"/>
          <w:sz w:val="28"/>
          <w:szCs w:val="28"/>
          <w:lang w:val="es-MX"/>
        </w:rPr>
        <w:t xml:space="preserve"> de los Estados Unidos Mexicanos y por la Cámara de Senadores.</w:t>
      </w:r>
    </w:p>
    <w:p w14:paraId="791D77C8" w14:textId="77777777" w:rsidR="000724C8" w:rsidRPr="00BD02B4" w:rsidRDefault="000724C8" w:rsidP="00004076">
      <w:pPr>
        <w:pStyle w:val="Prrafodelista"/>
        <w:spacing w:line="360" w:lineRule="auto"/>
        <w:ind w:left="709" w:right="-232"/>
        <w:rPr>
          <w:rFonts w:ascii="Arial" w:hAnsi="Arial" w:cs="Arial"/>
          <w:bCs/>
          <w:sz w:val="28"/>
          <w:szCs w:val="28"/>
        </w:rPr>
      </w:pPr>
    </w:p>
    <w:p w14:paraId="7A893BB9"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En ese </w:t>
      </w:r>
      <w:r w:rsidRPr="00BD02B4">
        <w:rPr>
          <w:rFonts w:cs="Arial"/>
          <w:bCs/>
          <w:sz w:val="28"/>
          <w:szCs w:val="28"/>
        </w:rPr>
        <w:t>contexto</w:t>
      </w:r>
      <w:r w:rsidRPr="00BD02B4">
        <w:rPr>
          <w:rFonts w:cs="Arial"/>
          <w:sz w:val="28"/>
          <w:szCs w:val="28"/>
        </w:rPr>
        <w:t xml:space="preserve">, esta Primera Sala considera que, en lo general, ha quedado agotado el estudio de las posibles causales de improcedencia. </w:t>
      </w:r>
    </w:p>
    <w:p w14:paraId="7DC52303" w14:textId="77777777" w:rsidR="000724C8" w:rsidRPr="00BD02B4" w:rsidRDefault="000724C8" w:rsidP="00004076">
      <w:pPr>
        <w:pStyle w:val="Prrafodelista"/>
        <w:spacing w:line="360" w:lineRule="auto"/>
        <w:ind w:left="709" w:right="-232"/>
        <w:rPr>
          <w:rFonts w:ascii="Arial" w:hAnsi="Arial" w:cs="Arial"/>
          <w:bCs/>
          <w:sz w:val="28"/>
          <w:szCs w:val="28"/>
        </w:rPr>
      </w:pPr>
    </w:p>
    <w:p w14:paraId="0EDD1F35" w14:textId="58206EEF"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Lo anterior, sin que </w:t>
      </w:r>
      <w:r w:rsidRPr="00BD02B4">
        <w:rPr>
          <w:rFonts w:cs="Arial"/>
          <w:sz w:val="28"/>
          <w:szCs w:val="28"/>
          <w:lang w:val="es-MX"/>
        </w:rPr>
        <w:t>pase</w:t>
      </w:r>
      <w:r w:rsidRPr="00BD02B4">
        <w:rPr>
          <w:rFonts w:cs="Arial"/>
          <w:sz w:val="28"/>
          <w:szCs w:val="28"/>
        </w:rPr>
        <w:t xml:space="preserve"> desapercibido que, en su informe justificado, la Cámara</w:t>
      </w:r>
      <w:r w:rsidR="00BC0175" w:rsidRPr="00BD02B4">
        <w:rPr>
          <w:rFonts w:cs="Arial"/>
          <w:sz w:val="28"/>
          <w:szCs w:val="28"/>
        </w:rPr>
        <w:t xml:space="preserve"> de</w:t>
      </w:r>
      <w:r w:rsidRPr="00BD02B4">
        <w:rPr>
          <w:rFonts w:cs="Arial"/>
          <w:sz w:val="28"/>
          <w:szCs w:val="28"/>
        </w:rPr>
        <w:t xml:space="preserve"> Senadores, también hizo valer lo siguiente: </w:t>
      </w:r>
    </w:p>
    <w:p w14:paraId="5402E422" w14:textId="77777777" w:rsidR="000724C8" w:rsidRPr="00BD02B4" w:rsidRDefault="000724C8" w:rsidP="00004076">
      <w:pPr>
        <w:pStyle w:val="Prrafodelista"/>
        <w:spacing w:line="360" w:lineRule="auto"/>
        <w:ind w:left="567" w:right="-232"/>
        <w:rPr>
          <w:rFonts w:ascii="Arial" w:hAnsi="Arial" w:cs="Arial"/>
          <w:bCs/>
          <w:sz w:val="28"/>
          <w:szCs w:val="28"/>
        </w:rPr>
      </w:pPr>
    </w:p>
    <w:p w14:paraId="0DF6C8D1"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SOLA DISCUSIÓN, VOTACIÓN Y APROBACIÓN DE LAS NORMATIVIDADES DE MÉRITO, NO CAUSA AFECTACIÓN ALGUNA EN LOS INTERESES JURÍDICOS DE LA PARTE QUEJOSA, PUESTO QUE LA CULMINACIÓN DEL PROCESO LEGISLATIVO QUE SE LLEVÓ A CABO EN ESTE CUERPO COLEGIADO, NO DERIVA NECESARIAMENTE EN UN PERJUICIO A LA ESFERA DE DERECHOS DEL AMPARISTA.”.</w:t>
      </w:r>
    </w:p>
    <w:p w14:paraId="4F82B2F2" w14:textId="77777777" w:rsidR="000724C8" w:rsidRPr="00BD02B4" w:rsidRDefault="000724C8" w:rsidP="00004076">
      <w:pPr>
        <w:pStyle w:val="Prrafodelista"/>
        <w:spacing w:line="360" w:lineRule="auto"/>
        <w:ind w:left="567" w:right="-232"/>
        <w:rPr>
          <w:rFonts w:ascii="Arial" w:hAnsi="Arial" w:cs="Arial"/>
          <w:bCs/>
          <w:i/>
          <w:iCs/>
          <w:sz w:val="28"/>
          <w:szCs w:val="28"/>
        </w:rPr>
      </w:pPr>
    </w:p>
    <w:p w14:paraId="6417D085"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bCs/>
          <w:sz w:val="28"/>
          <w:szCs w:val="28"/>
        </w:rPr>
        <w:t xml:space="preserve">Por su parte, la </w:t>
      </w:r>
      <w:r w:rsidRPr="00BD02B4">
        <w:rPr>
          <w:rFonts w:cs="Arial"/>
          <w:sz w:val="28"/>
          <w:szCs w:val="28"/>
        </w:rPr>
        <w:t>Cámara</w:t>
      </w:r>
      <w:r w:rsidRPr="00BD02B4">
        <w:rPr>
          <w:rFonts w:cs="Arial"/>
          <w:bCs/>
          <w:sz w:val="28"/>
          <w:szCs w:val="28"/>
        </w:rPr>
        <w:t xml:space="preserve"> de Diputados, en su informe justificado, señaló lo siguiente:</w:t>
      </w:r>
    </w:p>
    <w:p w14:paraId="00A759A8" w14:textId="77777777" w:rsidR="000724C8" w:rsidRPr="00BD02B4" w:rsidRDefault="000724C8" w:rsidP="00004076">
      <w:pPr>
        <w:pStyle w:val="Prrafodelista"/>
        <w:ind w:left="567" w:right="-232"/>
        <w:rPr>
          <w:rFonts w:ascii="Arial" w:hAnsi="Arial" w:cs="Arial"/>
          <w:bCs/>
          <w:sz w:val="28"/>
          <w:szCs w:val="28"/>
        </w:rPr>
      </w:pPr>
    </w:p>
    <w:p w14:paraId="2F27459E"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discusión, votación, aprobación y expedición de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09 de diciembre de 2019, es constitucional toda vez que se realizaron con estricto apego al procedimiento y facultades que al efecto establecen los artículos 71, 72 y 73, fracciones VII, y XXXI en relación con el artículo 31, fracción IV de la Constitución Política de los Estados Unidos Mexicanos, vigentes en la fecha en que se realizaron los actos reclamados, por lo que no se causa agravio a las garantías individuales o a los derechos fundamentales de la parte quejosa, no se contraviene ninguno de los artículos de nuestra carta magna o los Tratados Internacionales en los que el Estado Mexicano es parte.”.</w:t>
      </w:r>
    </w:p>
    <w:p w14:paraId="10A69219" w14:textId="77777777" w:rsidR="000724C8" w:rsidRPr="00BD02B4" w:rsidRDefault="000724C8" w:rsidP="00004076">
      <w:pPr>
        <w:spacing w:line="360" w:lineRule="auto"/>
        <w:ind w:right="-232"/>
        <w:rPr>
          <w:rFonts w:ascii="Arial" w:hAnsi="Arial" w:cs="Arial"/>
          <w:bCs/>
          <w:sz w:val="28"/>
          <w:szCs w:val="28"/>
        </w:rPr>
      </w:pPr>
    </w:p>
    <w:p w14:paraId="613F83F0"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Sin embargo, se estima innecesaria la devolución del asunto al Tribunal Colegiado para el estudio específico de dichas causales, toda vez que ello a nada llevaría y sólo retrasaría la resolución del caso, máxime que resulta evidente que: (a) no es viable desvincular el estudio de la disposición impugnada del que concierne a su acto de aplicación; y (b) el perjuicio </w:t>
      </w:r>
      <w:r w:rsidRPr="00BD02B4">
        <w:rPr>
          <w:rFonts w:cs="Arial"/>
          <w:sz w:val="28"/>
          <w:szCs w:val="28"/>
        </w:rPr>
        <w:lastRenderedPageBreak/>
        <w:t xml:space="preserve">que genere o no la expedición de la norma impugnada, correspondería al estudio de fondo del asunto. </w:t>
      </w:r>
    </w:p>
    <w:p w14:paraId="5CB56EE2" w14:textId="77777777" w:rsidR="000724C8" w:rsidRPr="00BD02B4" w:rsidRDefault="000724C8" w:rsidP="00004076">
      <w:pPr>
        <w:pStyle w:val="Prrafodelista"/>
        <w:spacing w:line="360" w:lineRule="auto"/>
        <w:ind w:left="709" w:right="-232"/>
        <w:rPr>
          <w:rFonts w:ascii="Arial" w:hAnsi="Arial" w:cs="Arial"/>
          <w:bCs/>
          <w:sz w:val="28"/>
          <w:szCs w:val="28"/>
        </w:rPr>
      </w:pPr>
    </w:p>
    <w:p w14:paraId="376BAA6B"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Con lo anterior, no se advierte diversa causal de improcedencia pendiente de estudio o advertida de oficio, que obstaculice la procedencia del juicio de amparo.</w:t>
      </w:r>
    </w:p>
    <w:p w14:paraId="3875AE4D" w14:textId="77777777" w:rsidR="000724C8" w:rsidRPr="00BD02B4" w:rsidRDefault="000724C8" w:rsidP="00004076">
      <w:pPr>
        <w:pStyle w:val="Prrafodelista"/>
        <w:spacing w:line="360" w:lineRule="auto"/>
        <w:ind w:left="709" w:right="-232"/>
        <w:rPr>
          <w:rFonts w:ascii="Arial" w:hAnsi="Arial" w:cs="Arial"/>
          <w:bCs/>
          <w:sz w:val="28"/>
          <w:szCs w:val="28"/>
        </w:rPr>
      </w:pPr>
    </w:p>
    <w:p w14:paraId="15AC9B3D"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Aunado a lo anterior, cabe señalar que el recurso de revisión es procedente, de conformidad con lo dispuesto en los artículos 81, fracción I, inciso e) y 83 de la Ley de Amparo, toda vez que se interpuso en contra de una sentencia dictada en la audiencia constitucional, en un juicio en el que se impugnaron normas generales por estimarlas inconstitucionales, y sobre las que subsiste el problema de constitucionalidad.</w:t>
      </w:r>
    </w:p>
    <w:p w14:paraId="19CC2FC8" w14:textId="77777777" w:rsidR="000724C8" w:rsidRPr="00BD02B4" w:rsidRDefault="000724C8" w:rsidP="00004076">
      <w:pPr>
        <w:pStyle w:val="Prrafodelista"/>
        <w:ind w:right="-232"/>
        <w:rPr>
          <w:rFonts w:ascii="Arial" w:hAnsi="Arial" w:cs="Arial"/>
          <w:sz w:val="28"/>
          <w:szCs w:val="28"/>
        </w:rPr>
      </w:pPr>
    </w:p>
    <w:p w14:paraId="4951BD1C"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Una vez precisado lo anterior, procede efectuar el estudio de fondo de los conceptos de violación, en materia de constitucionalidad.</w:t>
      </w:r>
    </w:p>
    <w:p w14:paraId="5FD0B083" w14:textId="196FD069" w:rsidR="000724C8" w:rsidRPr="00BD02B4" w:rsidRDefault="000724C8" w:rsidP="00004076">
      <w:pPr>
        <w:pStyle w:val="corte4fondo"/>
        <w:ind w:right="-232"/>
        <w:rPr>
          <w:rFonts w:cs="Arial"/>
          <w:bCs/>
          <w:sz w:val="28"/>
          <w:szCs w:val="28"/>
        </w:rPr>
      </w:pPr>
    </w:p>
    <w:p w14:paraId="719AFEF1" w14:textId="77777777" w:rsidR="00154BCF" w:rsidRPr="00BD02B4" w:rsidRDefault="00154BCF" w:rsidP="00004076">
      <w:pPr>
        <w:pStyle w:val="corte4fondo"/>
        <w:ind w:right="-232"/>
        <w:rPr>
          <w:rFonts w:cs="Arial"/>
          <w:bCs/>
          <w:sz w:val="28"/>
          <w:szCs w:val="28"/>
        </w:rPr>
      </w:pPr>
    </w:p>
    <w:p w14:paraId="64108D85"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CUESTIONES NECESARIAS PARA RESOLVER EL ASUNTO</w:t>
      </w:r>
    </w:p>
    <w:p w14:paraId="6A1211CA" w14:textId="77777777" w:rsidR="000724C8" w:rsidRPr="00BD02B4" w:rsidRDefault="000724C8" w:rsidP="00004076">
      <w:pPr>
        <w:pStyle w:val="corte4fondo"/>
        <w:ind w:right="-232"/>
        <w:contextualSpacing/>
        <w:jc w:val="center"/>
        <w:rPr>
          <w:rFonts w:cs="Arial"/>
          <w:b/>
          <w:sz w:val="28"/>
          <w:szCs w:val="28"/>
          <w:lang w:val="es-MX"/>
        </w:rPr>
      </w:pPr>
    </w:p>
    <w:p w14:paraId="5241507E" w14:textId="77777777" w:rsidR="000724C8" w:rsidRPr="00BD02B4" w:rsidRDefault="000724C8" w:rsidP="00004076">
      <w:pPr>
        <w:pStyle w:val="corte4fondo"/>
        <w:numPr>
          <w:ilvl w:val="0"/>
          <w:numId w:val="5"/>
        </w:numPr>
        <w:ind w:left="0" w:right="-232" w:hanging="567"/>
        <w:contextualSpacing/>
        <w:rPr>
          <w:color w:val="000000" w:themeColor="text1"/>
          <w:sz w:val="28"/>
          <w:szCs w:val="28"/>
        </w:rPr>
      </w:pPr>
      <w:r w:rsidRPr="00BD02B4">
        <w:rPr>
          <w:sz w:val="28"/>
          <w:szCs w:val="28"/>
        </w:rPr>
        <w:t xml:space="preserve">Antes de analizar los argumentos planteados por la parte quejosa en su demanda, a continuación, se sintetizan los argumentos contenidos en: </w:t>
      </w:r>
    </w:p>
    <w:p w14:paraId="2EB9D102" w14:textId="77777777" w:rsidR="000724C8" w:rsidRPr="00BD02B4" w:rsidRDefault="000724C8" w:rsidP="00004076">
      <w:pPr>
        <w:pStyle w:val="corte4fondoCar"/>
        <w:ind w:right="-232" w:firstLine="0"/>
        <w:contextualSpacing/>
        <w:rPr>
          <w:rFonts w:cs="Arial"/>
          <w:color w:val="000000" w:themeColor="text1"/>
          <w:sz w:val="28"/>
          <w:szCs w:val="28"/>
        </w:rPr>
      </w:pPr>
    </w:p>
    <w:p w14:paraId="29940E66" w14:textId="77777777" w:rsidR="000724C8" w:rsidRPr="00BD02B4" w:rsidRDefault="000724C8" w:rsidP="00004076">
      <w:pPr>
        <w:pStyle w:val="Prrafodelista"/>
        <w:widowControl w:val="0"/>
        <w:adjustRightInd w:val="0"/>
        <w:spacing w:line="360" w:lineRule="auto"/>
        <w:ind w:left="0" w:right="-232"/>
        <w:contextualSpacing/>
        <w:jc w:val="both"/>
        <w:textAlignment w:val="baseline"/>
        <w:rPr>
          <w:rFonts w:ascii="Arial" w:hAnsi="Arial" w:cs="Arial"/>
          <w:b/>
          <w:bCs/>
          <w:sz w:val="28"/>
          <w:szCs w:val="28"/>
        </w:rPr>
      </w:pPr>
      <w:r w:rsidRPr="00BD02B4">
        <w:rPr>
          <w:rFonts w:ascii="Arial" w:hAnsi="Arial" w:cs="Arial"/>
          <w:b/>
          <w:bCs/>
          <w:sz w:val="28"/>
          <w:szCs w:val="28"/>
        </w:rPr>
        <w:t xml:space="preserve">Demanda de amparo. </w:t>
      </w:r>
    </w:p>
    <w:p w14:paraId="2FF91C46" w14:textId="77777777" w:rsidR="000724C8" w:rsidRPr="00BD02B4" w:rsidRDefault="000724C8" w:rsidP="00004076">
      <w:pPr>
        <w:pStyle w:val="corte4fondoCar"/>
        <w:spacing w:line="240" w:lineRule="auto"/>
        <w:ind w:right="-232" w:firstLine="0"/>
        <w:contextualSpacing/>
        <w:rPr>
          <w:rFonts w:cs="Arial"/>
          <w:b/>
          <w:i/>
          <w:sz w:val="28"/>
          <w:szCs w:val="28"/>
        </w:rPr>
      </w:pPr>
    </w:p>
    <w:p w14:paraId="02BE6C45" w14:textId="77777777" w:rsidR="000724C8" w:rsidRPr="00BD02B4" w:rsidRDefault="000724C8" w:rsidP="00004076">
      <w:pPr>
        <w:ind w:right="-232"/>
        <w:contextualSpacing/>
        <w:jc w:val="both"/>
        <w:rPr>
          <w:rFonts w:ascii="Arial" w:hAnsi="Arial" w:cs="Arial"/>
          <w:b/>
          <w:iCs/>
          <w:sz w:val="28"/>
          <w:szCs w:val="28"/>
        </w:rPr>
      </w:pPr>
      <w:r w:rsidRPr="00BD02B4">
        <w:rPr>
          <w:rFonts w:ascii="Arial" w:hAnsi="Arial" w:cs="Arial"/>
          <w:b/>
          <w:iCs/>
          <w:sz w:val="28"/>
          <w:szCs w:val="28"/>
        </w:rPr>
        <w:t>Primer concepto de violación. Violación a los principios de legalidad tributaria y de seguridad jurídica.</w:t>
      </w:r>
    </w:p>
    <w:p w14:paraId="5E4C4771" w14:textId="77777777" w:rsidR="000724C8" w:rsidRPr="00BD02B4" w:rsidRDefault="000724C8" w:rsidP="00004076">
      <w:pPr>
        <w:ind w:right="-232"/>
        <w:contextualSpacing/>
        <w:rPr>
          <w:rFonts w:ascii="Arial" w:hAnsi="Arial" w:cs="Arial"/>
          <w:b/>
          <w:iCs/>
          <w:sz w:val="28"/>
          <w:szCs w:val="28"/>
        </w:rPr>
      </w:pPr>
    </w:p>
    <w:p w14:paraId="2F5D929F"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Sostiene que el artículo 28, fracción XXXII, de la Ley del Impuesto Sobre la Renta, es violatorio de los derechos de </w:t>
      </w:r>
      <w:r w:rsidRPr="00BD02B4">
        <w:rPr>
          <w:rFonts w:ascii="Arial" w:hAnsi="Arial" w:cs="Arial"/>
          <w:b/>
          <w:iCs/>
          <w:sz w:val="28"/>
          <w:szCs w:val="28"/>
        </w:rPr>
        <w:t xml:space="preserve">legalidad tributaria </w:t>
      </w:r>
      <w:r w:rsidRPr="00BD02B4">
        <w:rPr>
          <w:rFonts w:ascii="Arial" w:hAnsi="Arial" w:cs="Arial"/>
          <w:bCs/>
          <w:iCs/>
          <w:sz w:val="28"/>
          <w:szCs w:val="28"/>
        </w:rPr>
        <w:t>y</w:t>
      </w:r>
      <w:r w:rsidRPr="00BD02B4">
        <w:rPr>
          <w:rFonts w:ascii="Arial" w:hAnsi="Arial" w:cs="Arial"/>
          <w:b/>
          <w:iCs/>
          <w:sz w:val="28"/>
          <w:szCs w:val="28"/>
        </w:rPr>
        <w:t xml:space="preserve"> seguridad jurídica</w:t>
      </w:r>
      <w:r w:rsidRPr="00BD02B4">
        <w:rPr>
          <w:rFonts w:ascii="Arial" w:hAnsi="Arial" w:cs="Arial"/>
          <w:bCs/>
          <w:iCs/>
          <w:sz w:val="28"/>
          <w:szCs w:val="28"/>
        </w:rPr>
        <w:t>, al no establecer una definición de lo que debe entenderse por parte relacionada, ni remitir a una disposición en particular, dejando en completo estado de indefensión a los contribuyentes, además de desconocer si debe o no observar lo dispuesto por la norma impugnada.</w:t>
      </w:r>
    </w:p>
    <w:p w14:paraId="33CE9CB4" w14:textId="77777777" w:rsidR="000724C8" w:rsidRPr="00BD02B4" w:rsidRDefault="000724C8" w:rsidP="00004076">
      <w:pPr>
        <w:pStyle w:val="Prrafodelista"/>
        <w:ind w:left="284" w:right="-232" w:hanging="284"/>
        <w:contextualSpacing/>
        <w:rPr>
          <w:rFonts w:ascii="Arial" w:hAnsi="Arial" w:cs="Arial"/>
          <w:bCs/>
          <w:iCs/>
          <w:sz w:val="28"/>
          <w:szCs w:val="28"/>
        </w:rPr>
      </w:pPr>
    </w:p>
    <w:p w14:paraId="185E6F0C"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Refiere que, en la Ley del Impuesto Sobre la Renta, se contienen cuando menos dos definiciones de </w:t>
      </w:r>
      <w:r w:rsidRPr="00BD02B4">
        <w:rPr>
          <w:rFonts w:ascii="Arial" w:hAnsi="Arial" w:cs="Arial"/>
          <w:bCs/>
          <w:i/>
          <w:iCs/>
          <w:sz w:val="28"/>
          <w:szCs w:val="28"/>
        </w:rPr>
        <w:t>“parte relacionada”</w:t>
      </w:r>
      <w:r w:rsidRPr="00BD02B4">
        <w:rPr>
          <w:rFonts w:ascii="Arial" w:hAnsi="Arial"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79D6E809" w14:textId="77777777" w:rsidR="000724C8" w:rsidRPr="00BD02B4" w:rsidRDefault="000724C8" w:rsidP="00004076">
      <w:pPr>
        <w:pStyle w:val="Prrafodelista"/>
        <w:ind w:left="284" w:right="-232" w:hanging="284"/>
        <w:rPr>
          <w:rFonts w:ascii="Arial" w:hAnsi="Arial" w:cs="Arial"/>
          <w:bCs/>
          <w:iCs/>
          <w:sz w:val="28"/>
          <w:szCs w:val="28"/>
        </w:rPr>
      </w:pPr>
    </w:p>
    <w:p w14:paraId="4490A8D1" w14:textId="5217FE5C"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Por otra parte, refiere que la norma reclamada no dice cómo debe repartirse el importe de $20’000,000.00 </w:t>
      </w:r>
      <w:r w:rsidR="00046402" w:rsidRPr="00BD02B4">
        <w:rPr>
          <w:rFonts w:ascii="Arial" w:hAnsi="Arial" w:cs="Arial"/>
          <w:bCs/>
          <w:iCs/>
          <w:sz w:val="28"/>
          <w:szCs w:val="28"/>
        </w:rPr>
        <w:t xml:space="preserve">(veinte millones de pesos 00/100 moneda nacional), </w:t>
      </w:r>
      <w:r w:rsidRPr="00BD02B4">
        <w:rPr>
          <w:rFonts w:ascii="Arial" w:hAnsi="Arial" w:cs="Arial"/>
          <w:bCs/>
          <w:iCs/>
          <w:sz w:val="28"/>
          <w:szCs w:val="28"/>
        </w:rPr>
        <w:t>cuando se está en presencia de contribuyentes que 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1F5F08BA" w14:textId="77777777" w:rsidR="000724C8" w:rsidRPr="00BD02B4" w:rsidRDefault="000724C8" w:rsidP="00004076">
      <w:pPr>
        <w:pStyle w:val="Prrafodelista"/>
        <w:ind w:left="284" w:right="-232" w:hanging="284"/>
        <w:rPr>
          <w:rFonts w:ascii="Arial" w:hAnsi="Arial" w:cs="Arial"/>
          <w:bCs/>
          <w:iCs/>
          <w:sz w:val="28"/>
          <w:szCs w:val="28"/>
        </w:rPr>
      </w:pPr>
    </w:p>
    <w:p w14:paraId="1BDE93ED" w14:textId="606DAD81"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A37E02" w:rsidRPr="00BD02B4">
        <w:rPr>
          <w:rFonts w:ascii="Arial" w:hAnsi="Arial" w:cs="Arial"/>
          <w:bCs/>
          <w:iCs/>
          <w:sz w:val="28"/>
          <w:szCs w:val="28"/>
        </w:rPr>
        <w:t xml:space="preserve"> </w:t>
      </w:r>
      <w:r w:rsidR="00046402" w:rsidRPr="00BD02B4">
        <w:rPr>
          <w:rFonts w:ascii="Arial" w:hAnsi="Arial" w:cs="Arial"/>
          <w:bCs/>
          <w:iCs/>
          <w:sz w:val="28"/>
          <w:szCs w:val="28"/>
        </w:rPr>
        <w:t>(veinte millones de pesos 00/100 moneda nacional)</w:t>
      </w:r>
      <w:r w:rsidRPr="00BD02B4">
        <w:rPr>
          <w:rFonts w:ascii="Arial" w:hAnsi="Arial" w:cs="Arial"/>
          <w:bCs/>
          <w:iCs/>
          <w:sz w:val="28"/>
          <w:szCs w:val="28"/>
        </w:rPr>
        <w:t>, les corresponde y, derivado de ello, cuales intereses podrán deducir y cuales no, lo que les impedirá deducir cualquier interés devengado.</w:t>
      </w:r>
    </w:p>
    <w:p w14:paraId="44DDA218" w14:textId="77777777" w:rsidR="000724C8" w:rsidRPr="00BD02B4" w:rsidRDefault="000724C8" w:rsidP="00004076">
      <w:pPr>
        <w:pStyle w:val="Prrafodelista"/>
        <w:ind w:left="284" w:right="-232" w:hanging="284"/>
        <w:rPr>
          <w:rFonts w:ascii="Arial" w:hAnsi="Arial" w:cs="Arial"/>
          <w:bCs/>
          <w:iCs/>
          <w:sz w:val="28"/>
          <w:szCs w:val="28"/>
        </w:rPr>
      </w:pPr>
    </w:p>
    <w:p w14:paraId="05A05900"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Por otra parte, refiere que no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73830626" w14:textId="77777777" w:rsidR="000724C8" w:rsidRPr="00BD02B4" w:rsidRDefault="000724C8" w:rsidP="00004076">
      <w:pPr>
        <w:pStyle w:val="Prrafodelista"/>
        <w:widowControl w:val="0"/>
        <w:adjustRightInd w:val="0"/>
        <w:spacing w:line="360" w:lineRule="auto"/>
        <w:ind w:left="284" w:right="-232" w:hanging="284"/>
        <w:contextualSpacing/>
        <w:jc w:val="both"/>
        <w:textAlignment w:val="baseline"/>
        <w:rPr>
          <w:rFonts w:ascii="Arial" w:hAnsi="Arial" w:cs="Arial"/>
          <w:sz w:val="28"/>
          <w:szCs w:val="28"/>
        </w:rPr>
      </w:pPr>
    </w:p>
    <w:p w14:paraId="048FE601" w14:textId="77777777" w:rsidR="000724C8" w:rsidRPr="00BD02B4" w:rsidRDefault="000724C8" w:rsidP="00004076">
      <w:pPr>
        <w:ind w:right="-232"/>
        <w:contextualSpacing/>
        <w:jc w:val="both"/>
        <w:rPr>
          <w:rFonts w:ascii="Arial" w:eastAsiaTheme="minorHAnsi" w:hAnsi="Arial" w:cs="Arial"/>
          <w:b/>
          <w:bCs/>
          <w:sz w:val="28"/>
          <w:szCs w:val="28"/>
          <w:lang w:eastAsia="en-US"/>
        </w:rPr>
      </w:pPr>
      <w:r w:rsidRPr="00BD02B4">
        <w:rPr>
          <w:rFonts w:ascii="Arial" w:eastAsiaTheme="minorHAnsi" w:hAnsi="Arial" w:cs="Arial"/>
          <w:b/>
          <w:bCs/>
          <w:sz w:val="28"/>
          <w:szCs w:val="28"/>
          <w:lang w:eastAsia="en-US"/>
        </w:rPr>
        <w:t xml:space="preserve">Segundo concepto de violación. Violación al principio de </w:t>
      </w:r>
      <w:r w:rsidRPr="00BD02B4">
        <w:rPr>
          <w:rFonts w:ascii="Arial" w:hAnsi="Arial" w:cs="Arial"/>
          <w:b/>
          <w:iCs/>
          <w:sz w:val="28"/>
          <w:szCs w:val="28"/>
        </w:rPr>
        <w:t>proporcionalidad</w:t>
      </w:r>
      <w:r w:rsidRPr="00BD02B4">
        <w:rPr>
          <w:rFonts w:ascii="Arial" w:eastAsiaTheme="minorHAnsi" w:hAnsi="Arial" w:cs="Arial"/>
          <w:b/>
          <w:bCs/>
          <w:sz w:val="28"/>
          <w:szCs w:val="28"/>
          <w:lang w:eastAsia="en-US"/>
        </w:rPr>
        <w:t xml:space="preserve"> tributaria.</w:t>
      </w:r>
    </w:p>
    <w:p w14:paraId="1F77742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44AEDF91" w14:textId="419BAB1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
          <w:bCs/>
          <w:sz w:val="28"/>
          <w:szCs w:val="28"/>
          <w:lang w:eastAsia="en-US"/>
        </w:rPr>
      </w:pPr>
      <w:r w:rsidRPr="00BD02B4">
        <w:rPr>
          <w:rFonts w:ascii="Arial" w:eastAsiaTheme="minorHAnsi" w:hAnsi="Arial" w:cs="Arial"/>
          <w:bCs/>
          <w:sz w:val="28"/>
          <w:szCs w:val="28"/>
          <w:lang w:eastAsia="en-US"/>
        </w:rPr>
        <w:t>Sostiene que</w:t>
      </w:r>
      <w:r w:rsidRPr="00BD02B4">
        <w:rPr>
          <w:rFonts w:ascii="Arial" w:eastAsiaTheme="minorHAnsi" w:hAnsi="Arial" w:cs="Arial"/>
          <w:sz w:val="28"/>
          <w:szCs w:val="28"/>
          <w:lang w:eastAsia="en-US"/>
        </w:rPr>
        <w:t xml:space="preserve"> el artículo 28, fracción XXXII de la Ley del Impuesto Sobre la Renta, es violatorio del </w:t>
      </w:r>
      <w:r w:rsidRPr="00BD02B4">
        <w:rPr>
          <w:rFonts w:ascii="Arial" w:eastAsiaTheme="minorHAnsi" w:hAnsi="Arial" w:cs="Arial"/>
          <w:b/>
          <w:bCs/>
          <w:sz w:val="28"/>
          <w:szCs w:val="28"/>
          <w:lang w:eastAsia="en-US"/>
        </w:rPr>
        <w:t>principio de proporcionalidad tributaria</w:t>
      </w:r>
      <w:r w:rsidRPr="00BD02B4">
        <w:rPr>
          <w:rFonts w:ascii="Arial" w:eastAsiaTheme="minorHAnsi" w:hAnsi="Arial" w:cs="Arial"/>
          <w:sz w:val="28"/>
          <w:szCs w:val="28"/>
          <w:lang w:eastAsia="en-US"/>
        </w:rPr>
        <w:t xml:space="preserve">, toda vez que al negar la deducción de los intereses netos del ejercicio </w:t>
      </w:r>
      <w:r w:rsidR="00046402" w:rsidRPr="00BD02B4">
        <w:rPr>
          <w:rFonts w:ascii="Arial" w:eastAsiaTheme="minorHAnsi" w:hAnsi="Arial" w:cs="Arial"/>
          <w:sz w:val="28"/>
          <w:szCs w:val="28"/>
          <w:lang w:eastAsia="en-US"/>
        </w:rPr>
        <w:t>por el</w:t>
      </w:r>
      <w:r w:rsidRPr="00BD02B4">
        <w:rPr>
          <w:rFonts w:ascii="Arial" w:eastAsiaTheme="minorHAnsi" w:hAnsi="Arial" w:cs="Arial"/>
          <w:sz w:val="28"/>
          <w:szCs w:val="28"/>
          <w:lang w:eastAsia="en-US"/>
        </w:rPr>
        <w:t xml:space="preserve"> monto que resulte de multiplicar la utilidad fiscal ajustada por la tasa del 30%, no le permite a la quejosa tributar de conformidad con su verdadera capacidad contributiva.</w:t>
      </w:r>
    </w:p>
    <w:p w14:paraId="03C3A5C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03BA9C0F" w14:textId="5CAE96B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lastRenderedPageBreak/>
        <w:t>Aduce que tratándose de contribuyentes que no pertenecen a un grupo y que no tienen partes relacionadas, podrán efectuar cuando menos la deducción de los intereses devengados por el monto de $20’000,000.00</w:t>
      </w:r>
      <w:r w:rsidR="00046402" w:rsidRPr="00BD02B4">
        <w:rPr>
          <w:rFonts w:ascii="Arial" w:hAnsi="Arial" w:cs="Arial"/>
          <w:bCs/>
          <w:iCs/>
          <w:sz w:val="28"/>
          <w:szCs w:val="28"/>
        </w:rPr>
        <w:t xml:space="preserve"> (veinte millones de pesos 00/100 moneda nacional)</w:t>
      </w:r>
      <w:r w:rsidRPr="00BD02B4">
        <w:rPr>
          <w:rFonts w:ascii="Arial" w:eastAsiaTheme="minorHAnsi" w:hAnsi="Arial" w:cs="Arial"/>
          <w:bCs/>
          <w:sz w:val="28"/>
          <w:szCs w:val="28"/>
          <w:lang w:eastAsia="en-US"/>
        </w:rPr>
        <w:t>, así como los inte</w:t>
      </w:r>
      <w:r w:rsidR="00820315" w:rsidRPr="00BD02B4">
        <w:rPr>
          <w:rFonts w:ascii="Arial" w:eastAsiaTheme="minorHAnsi" w:hAnsi="Arial" w:cs="Arial"/>
          <w:bCs/>
          <w:sz w:val="28"/>
          <w:szCs w:val="28"/>
          <w:lang w:eastAsia="en-US"/>
        </w:rPr>
        <w:t>reses</w:t>
      </w:r>
      <w:r w:rsidRPr="00BD02B4">
        <w:rPr>
          <w:rFonts w:ascii="Arial" w:eastAsiaTheme="minorHAnsi" w:hAnsi="Arial" w:cs="Arial"/>
          <w:bCs/>
          <w:sz w:val="28"/>
          <w:szCs w:val="28"/>
          <w:lang w:eastAsia="en-US"/>
        </w:rPr>
        <w:t xml:space="preserve"> netos que no excedan del monto que resulte de multiplicar la utilidad fiscal ajustada por el 30%</w:t>
      </w:r>
      <w:r w:rsidR="00820315" w:rsidRPr="00BD02B4">
        <w:rPr>
          <w:rFonts w:ascii="Arial" w:eastAsiaTheme="minorHAnsi" w:hAnsi="Arial" w:cs="Arial"/>
          <w:bCs/>
          <w:sz w:val="28"/>
          <w:szCs w:val="28"/>
          <w:lang w:eastAsia="en-US"/>
        </w:rPr>
        <w:t>;</w:t>
      </w:r>
      <w:r w:rsidRPr="00BD02B4">
        <w:rPr>
          <w:rFonts w:ascii="Arial" w:eastAsiaTheme="minorHAnsi" w:hAnsi="Arial" w:cs="Arial"/>
          <w:bCs/>
          <w:sz w:val="28"/>
          <w:szCs w:val="28"/>
          <w:lang w:eastAsia="en-US"/>
        </w:rPr>
        <w:t xml:space="preserve"> sin embargo, tratándose de contribuyentes que formen parte de un mismo grupo o que sea partes relacionadas, el monto de los intereses devengados que podrán deducir es menor, toda vez que tendrán que repartir el importe de $20’000,000.00</w:t>
      </w:r>
      <w:r w:rsidR="00046402" w:rsidRPr="00BD02B4">
        <w:rPr>
          <w:rFonts w:ascii="Arial" w:eastAsiaTheme="minorHAnsi" w:hAnsi="Arial" w:cs="Arial"/>
          <w:bCs/>
          <w:sz w:val="28"/>
          <w:szCs w:val="28"/>
          <w:lang w:eastAsia="en-US"/>
        </w:rPr>
        <w:t xml:space="preserve"> </w:t>
      </w:r>
      <w:r w:rsidR="00046402"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entre las personas miembros del grupo o partes relacionadas, en la proporción de los ingresos acumulables del ejercicio anterior de manera que sólo podrán deducir la parte proporcional de esa cantidad y los intereses netos del ejercicio que no excedan del monto que resulte de multiplicar la utilidad fiscal ajustada por el 30%, así lo anterior, puede llevar al absurdo de que el grupo o las partes relacionadas ni siquiera lleguen a deducir la mencionada cantidad de intereses devengados.</w:t>
      </w:r>
    </w:p>
    <w:p w14:paraId="29018EBE"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BCDD7B4" w14:textId="079CC7B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Asimismo, manifiesta que cuando el contribuyente obtenga pérdida fiscal en el ejercicio respectivo, ello se traduciría en que no deducirá la totalidad de los intereses devengados que excedan el importe del $20’000,000.00 </w:t>
      </w:r>
      <w:r w:rsidR="00046402"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o de su parte proporcional o en que los deducirá en una cantidad menor.</w:t>
      </w:r>
    </w:p>
    <w:p w14:paraId="62D8F592"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851D26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norma reclamada dispone que los intereses netos del ejercicio que no sean deducibles podrán deducirse durante los diez ejercicios siguientes hasta agotarlos, siempre y cuando, por una parte, se sumen a los intereses netos del ejercicio siguiente y la cantidad resultante cumpla con lo dispuesto por la fracción XXXII y, por otra, el contribuyente lleve un registro de los intereses netos pendientes de deducir, mismo que deberá estar a disposición de la autoridad fiscal.</w:t>
      </w:r>
    </w:p>
    <w:p w14:paraId="3602B17C"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205FAEA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Refiere que lo anterior evidencia la verdadera finalidad buscada por el legislador federal con la norma reclamada, consistente en disminuir las deducciones de los contribuyentes, como la quejosa, para aumentar artificialmente su base gravable y, con ello, el pago del Impuesto sobre la Renta, es decir, la recaudación, ya que lo único que está haciendo es prorratear la deducción de los intereses devengados, lo cual viola el derecho de proporcionalidad tributaria.</w:t>
      </w:r>
    </w:p>
    <w:p w14:paraId="11BAFC08"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4D637275"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Señala que de hecho la disposición de que los intereses que no se hayan podido deducir en un ejercicio, podrán deducirse en los diez ejercicios siguientes, conlleva en sí mismo el reconocimiento del legislador federal de que dichos intereses y la deuda contraída son estrictamente indispensables para la realización de las actividades de los contribuyentes y, pese a ello, pretende limitar su deducción </w:t>
      </w:r>
      <w:r w:rsidRPr="00BD02B4">
        <w:rPr>
          <w:rFonts w:ascii="Arial" w:eastAsiaTheme="minorHAnsi" w:hAnsi="Arial" w:cs="Arial"/>
          <w:bCs/>
          <w:sz w:val="28"/>
          <w:szCs w:val="28"/>
          <w:lang w:eastAsia="en-US"/>
        </w:rPr>
        <w:lastRenderedPageBreak/>
        <w:t>(temporal o definitivamente), con la única intención de que se aumente la base gravable y el monto del Impuesto sobre la Renta a pagar, violándose así el principio de proporcionalidad tributaria.</w:t>
      </w:r>
    </w:p>
    <w:p w14:paraId="7B2ACB24"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570B5D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Asimismo, refiere que la norma impugnada establece que a los intereses netos del ejercicio que no sean deducibles de conformidad con la fracción XXXII, le serán aplicables las mismas reglas señaladas en el artículo 57 de esta Ley, de manera que, en lo que interesa, cuando el contribuyente no deduzca en un ejercicio los intereses netos de ejercicios anteriores pudiendo hacerlo, perderá el derecho de hacerlo en los ejercicios posteriores y hasta la cantidad en la que pudo haberla efectuado.</w:t>
      </w:r>
    </w:p>
    <w:p w14:paraId="4FFBE891"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E15F41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considera que el legislador federal no sólo establece la prohibición temporal de deducir en un ejercicio los intereses netos que excedan del monto que resulte de multiplicar la utilidad fiscal ajustada por la tasa del 30%, sino que incluso dispone la extinción del derecho de su deducción cuando no se haga en un máximo de diez ejercicios fiscales o cuando el contribuyente no deduzca en un ejercicio los intereses netos de ejercicios anteriores pudiendo hacerlo, lo que viola el principio de proporcionalidad tributaria.</w:t>
      </w:r>
    </w:p>
    <w:p w14:paraId="7B42FCE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3EC701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Cuestiona que, si los intereses devengados por la obtención de endeudamiento para realizar la actividad de la quejosa cumplen sin ningún problema con todos los requerimientos que exige el legislador para considerarlos deducibles, por qué se limita caprichosa y nocivamente su deducción.</w:t>
      </w:r>
    </w:p>
    <w:p w14:paraId="30945A0D"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64F73B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quejosa para la realización de su actividad requiere efectuar gastos que le son estrictamente indispensables, para lo cual en ocasiones requiere contratar u obtener deuda, la cual le genera intereses a cargo como se desprende de las copias certificadas de los contratos de préstamos y de los estados de cuenta que se ofrecen como prueba a la presente demanda, de manera que dichos intereses deben ser deducibles en su totalidad, pues de limitarse su deducción, ello ocasionará que refleje en su declaración anual una utilidad fiscal irreal y, por tanto, que pague Impuesto Sobre la Renta con base en una capacidad contributiva inexistente.</w:t>
      </w:r>
    </w:p>
    <w:p w14:paraId="71165EB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3D63D40"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CF87D9E"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Aduce que no debe soslayarse que en tratándose de la denominada “capitalización delgada” prevista en el artículo 28, fracción XXVII, de la Ley del Impuesto Sobre la Renta, el legislador federal sin importar que la deuda se haya contratado con una parte relacionada, de ninguna manera pretende hacer depender la limitación a la deducción de intereses a factores inherentes a la parte relacionada, sino que la limitante la fija con base en condiciones propias del contribuyente, como son el nivel de sus deudas y la relación de éstas con su capital contable, por lo que en todo caso el legislador federal ahí establece un procedimiento de limitación de intereses que atiende a la verdadera </w:t>
      </w:r>
      <w:r w:rsidRPr="00BD02B4">
        <w:rPr>
          <w:rFonts w:ascii="Arial" w:eastAsiaTheme="minorHAnsi" w:hAnsi="Arial" w:cs="Arial"/>
          <w:bCs/>
          <w:sz w:val="28"/>
          <w:szCs w:val="28"/>
          <w:lang w:eastAsia="en-US"/>
        </w:rPr>
        <w:lastRenderedPageBreak/>
        <w:t>capacidad contributiva del contribuyente (claro está, partiendo de la premisa que el séptimo párrafo de dicha fracción se establece que tal límite puede ampliarse en los casos en que los contribuyentes comprueben que la actividad que realizan requiere en sí misma de mayor apalancamiento y obtengan una resolución al respecto en los términos que señala el ordinal 34-A del Código Fiscal de la Federación).</w:t>
      </w:r>
    </w:p>
    <w:p w14:paraId="23F7E72C"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86C557A" w14:textId="54A601C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Sin embargo, -aduce-, lo anterior no ocurre así en el caso concreto de la regla prevista en la fracción impugnada, pues aunado a que no se prevé un procedimiento para que e</w:t>
      </w:r>
      <w:r w:rsidR="00BC0175" w:rsidRPr="00BD02B4">
        <w:rPr>
          <w:rFonts w:ascii="Arial" w:eastAsiaTheme="minorHAnsi" w:hAnsi="Arial" w:cs="Arial"/>
          <w:bCs/>
          <w:sz w:val="28"/>
          <w:szCs w:val="28"/>
          <w:lang w:eastAsia="en-US"/>
        </w:rPr>
        <w:t>l</w:t>
      </w:r>
      <w:r w:rsidRPr="00BD02B4">
        <w:rPr>
          <w:rFonts w:ascii="Arial" w:eastAsiaTheme="minorHAnsi" w:hAnsi="Arial" w:cs="Arial"/>
          <w:bCs/>
          <w:sz w:val="28"/>
          <w:szCs w:val="28"/>
          <w:lang w:eastAsia="en-US"/>
        </w:rPr>
        <w:t xml:space="preserve"> contribuyente pueda acreditar que requiere de una apalancamiento mayor para realizar su actividad, el legislador federal pretende supeditar la deducibilidad de los intereses a factores que no son propios de quien contrató la deuda, quien pagará la misma y los intereses, así como quien pagará en todo caso el Impuesto sobre la Renta, ya que pretende que dentro de la fórmula para obtener cuáles intereses son deducibles y cuáles no, se tomen en cuenta factores que le son ajenos, como son los ingresos de los contribuyentes de un mismo grupo o partes relacionadas, lo cual es inconstitucional y violatorio del principio de proporcionalidad, pues dichos factores no tienen nada que ver con su capacidad contributiva, por el contrario, la distorsionan, ocasionando que tenga menores deducciones y, por tanto, una base gravable y un Impuesto Sobre la Renta mayor al que realmente le corresponde.</w:t>
      </w:r>
    </w:p>
    <w:p w14:paraId="6F1828FF"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822F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C7569AB" w14:textId="7F9F5C9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otra parte, la quejosa precisa que un segundo nivel de afectación que le ocasiona la norma impugnada, es que de conformidad con el artículo 77 de la Ley del Impuesto Sobre la Renta, los montos no deducibles disminuyen la utilidad fiscal neta del ejercicio, repercutiendo no sólo de forma negativa en la integración de la cuenta de utilidad fiscal neta, sino que se ocasiona un doble impacto fiscal, ya que por una parte, al no deducirse los intereses en el ejercicio en que se devengan, ocasionan una base gravable o una pérdida menos a la realmente tenida, por los motivos y fundamentos ya señalados y, por otra, se disminuirá indebidamente la cuenta de utilidad fiscal neta, lo que ocasionará que al momento de que la quejosa reparta dividendos o utilidades, deba efectuar el entero de otro Impuesto sobre la Renta, que no se hubiera generado si la fracción XXXII del artículo 28 de la Ley del Impuesto sobre la Renta, no propiciará la determinación de capacidad contributiva inexistente.</w:t>
      </w:r>
    </w:p>
    <w:p w14:paraId="4F63A58E"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EC54CA1"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Precisa que prueba de que la norma reclamada no persigue un fin constitucionalmente válido, particularmente, que no busca limitar la deducción de deuda que se contrata para obtener un beneficio fiscal indebido o para erosionar la base gravable y trasladar las utilidades a un lugar de baja o nula imposición, lo es el hecho de que en su décimo </w:t>
      </w:r>
      <w:r w:rsidRPr="00BD02B4">
        <w:rPr>
          <w:rFonts w:ascii="Arial" w:eastAsiaTheme="minorHAnsi" w:hAnsi="Arial" w:cs="Arial"/>
          <w:bCs/>
          <w:sz w:val="28"/>
          <w:szCs w:val="28"/>
          <w:lang w:eastAsia="en-US"/>
        </w:rPr>
        <w:lastRenderedPageBreak/>
        <w:t>párrafo se establece que los intereses netos del ejercicio que no sean deducibles, podrán deducirse durante los diez ejercicios siguientes hasta agotarlos, pues ello conlleva el reconocimiento tácito del legislador federal de que dichos intereses y la deuda contraída son estrictamente indispensables para la realización de actividades de los contribuyentes.</w:t>
      </w:r>
    </w:p>
    <w:p w14:paraId="32199847"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1AF082" w14:textId="0157372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Aunado a ello refiere, que también es prueba de que la norma reclamada no persigue una finalidad constitucionalmente válida, particularmente, que no busca limitar la deducción de deuda que se contrata para obtener un beneficio fiscal indebido o para erosionar la base gravable y trasladar las utilidades a un lugar de baja o nula imposición, el hecho de que se excluyó de su aplicación a todas las deudas que no devengan intereses en un ejercicio mayores a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pues sería absurdo que si el legislador federal considera que se está contratando deuda con ese fin simplemente no permitiría implícitamente la deducción de la totalidad de dichos intereses, pues ello afectaría la recaudación, que según el reporte final de mérito es lo que se pretende evitar con la inclusión de las reglas señaladas para las empresas multinacionales.</w:t>
      </w:r>
    </w:p>
    <w:p w14:paraId="5389B4DE"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1F0EBC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Además, refiere, que si fuera el caso de que un contribuyente contratara deuda con la única intención de deducir intereses, los mismos no serían deducibles acorde con lo dispuesto por el artículo 27, fracción I, de la Ley del Impuesto sobre la Renta, ya que no sería una erogación estrictamente indispensable para los fines de la actividad del contribuyente.</w:t>
      </w:r>
    </w:p>
    <w:p w14:paraId="429195F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8CC700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refiere que es inconcuso que la norma reclamada viola el principio de proporcionalidad tributaria, así como que no tiene una finalidad objetiva y constitucionalmente válida.</w:t>
      </w:r>
    </w:p>
    <w:p w14:paraId="65F29E8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27B9512E" w14:textId="62715B2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Además sostiene que continuando con el análisis de la exposición de motivos, el Legislador Federal señala que la adjudicación de la regla de </w:t>
      </w:r>
      <w:r w:rsidR="000A1C90" w:rsidRPr="00BD02B4">
        <w:rPr>
          <w:rFonts w:ascii="Arial" w:eastAsiaTheme="minorHAnsi" w:hAnsi="Arial" w:cs="Arial"/>
          <w:bCs/>
          <w:sz w:val="28"/>
          <w:szCs w:val="28"/>
          <w:lang w:eastAsia="en-US"/>
        </w:rPr>
        <w:t>mínimos</w:t>
      </w:r>
      <w:r w:rsidRPr="00BD02B4">
        <w:rPr>
          <w:rFonts w:ascii="Arial" w:eastAsiaTheme="minorHAnsi" w:hAnsi="Arial" w:cs="Arial"/>
          <w:bCs/>
          <w:sz w:val="28"/>
          <w:szCs w:val="28"/>
          <w:lang w:eastAsia="en-US"/>
        </w:rPr>
        <w:t xml:space="preserve"> debe excluir a los contribuyentes cuyos intereses devengados durante un ejercicio fiscal derivados de sus deudas no excedan de la cantidad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a fin de simplificar la aplicación de dicha determinación; sin embargo, el Legislador Federal no señala los motivos, razones particulares  o circunstancias por los cuales el importe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constituye un parámetro objetivo para delimitar el universo de personas morales a las cuales debe aplicarse la regla de marras, ni porqué dicho importe debe repartirse entre los miembros de un mismo grupo o partes relacionadas en la proporción de sus ingresos acumulables del ejercicio anterior.</w:t>
      </w:r>
    </w:p>
    <w:p w14:paraId="0B6C0FE8"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BAAE19E" w14:textId="6524FADF"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Añade que tampoco hay una justificación del porqué tratándose de miembros de un mismo grupo o partes relacionadas debe repartirse el </w:t>
      </w:r>
      <w:r w:rsidRPr="00BD02B4">
        <w:rPr>
          <w:rFonts w:ascii="Arial" w:eastAsiaTheme="minorHAnsi" w:hAnsi="Arial" w:cs="Arial"/>
          <w:bCs/>
          <w:sz w:val="28"/>
          <w:szCs w:val="28"/>
          <w:lang w:eastAsia="en-US"/>
        </w:rPr>
        <w:lastRenderedPageBreak/>
        <w:t>importe de $20'0</w:t>
      </w:r>
      <w:r w:rsidR="00F722F9" w:rsidRPr="00BD02B4">
        <w:rPr>
          <w:rFonts w:ascii="Arial" w:eastAsiaTheme="minorHAnsi" w:hAnsi="Arial" w:cs="Arial"/>
          <w:bCs/>
          <w:sz w:val="28"/>
          <w:szCs w:val="28"/>
          <w:lang w:eastAsia="en-US"/>
        </w:rPr>
        <w:t>0</w:t>
      </w:r>
      <w:r w:rsidRPr="00BD02B4">
        <w:rPr>
          <w:rFonts w:ascii="Arial" w:eastAsiaTheme="minorHAnsi" w:hAnsi="Arial" w:cs="Arial"/>
          <w:bCs/>
          <w:sz w:val="28"/>
          <w:szCs w:val="28"/>
          <w:lang w:eastAsia="en-US"/>
        </w:rPr>
        <w:t xml:space="preserve">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en proporción a sus ingresos acumulables del ejercicio anterior, es decir, con base en elementos ajenos a las personas morales, las cuales cabe destacar tienen personalidad jurídica y patrimonio propios, aunado al hecho de que deben tributar de conformidad con su capacidad contributiva y no de la de terceros.</w:t>
      </w:r>
    </w:p>
    <w:p w14:paraId="759E35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07541E4"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Se reitera, por una parte, que al no existir en la norma reclamada una definición de lo que debe entenderse por parte relacionada, ni remisión a alguna disposición en particular, deja a la empresa quejosa en completo estado de indefensión, al desconocer si tiene partes relacionadas y, por la otra, que si bien es cierto que la quejosa no acredita que por el momento forma parte de un grupo, también lo es que durante el ejercicio o en siguientes ejercicios podría ser miembro de uno, por lo que en cualquier momento resentirá los efectos económicos de la norma impugnada.</w:t>
      </w:r>
    </w:p>
    <w:p w14:paraId="5D6DC3C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6FBDF7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manifiesta que queda claro que la medida adoptada en la norma reclamada no es adecuada ni proporcional, al no ser un medio apto para conducir al fin perseguido (el cual, por los motivos señalados, no fue expresado con calidad por el legislador federal, aunado a que no es constitucionalmente válido).</w:t>
      </w:r>
    </w:p>
    <w:p w14:paraId="17B99B79"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5DC9FD0" w14:textId="77777777" w:rsidR="000724C8" w:rsidRPr="00BD02B4" w:rsidRDefault="000724C8" w:rsidP="00004076">
      <w:pPr>
        <w:ind w:right="-232"/>
        <w:contextualSpacing/>
        <w:jc w:val="both"/>
        <w:rPr>
          <w:rFonts w:ascii="Arial" w:eastAsiaTheme="minorHAnsi" w:hAnsi="Arial" w:cs="Arial"/>
          <w:b/>
          <w:sz w:val="28"/>
          <w:szCs w:val="28"/>
          <w:lang w:eastAsia="en-US"/>
        </w:rPr>
      </w:pPr>
      <w:r w:rsidRPr="00BD02B4">
        <w:rPr>
          <w:rFonts w:ascii="Arial" w:eastAsiaTheme="minorHAnsi" w:hAnsi="Arial" w:cs="Arial"/>
          <w:b/>
          <w:bCs/>
          <w:sz w:val="28"/>
          <w:szCs w:val="28"/>
          <w:lang w:eastAsia="en-US"/>
        </w:rPr>
        <w:t>Tercer</w:t>
      </w:r>
      <w:r w:rsidRPr="00BD02B4">
        <w:rPr>
          <w:rFonts w:ascii="Arial" w:eastAsiaTheme="minorHAnsi" w:hAnsi="Arial" w:cs="Arial"/>
          <w:b/>
          <w:sz w:val="28"/>
          <w:szCs w:val="28"/>
          <w:lang w:eastAsia="en-US"/>
        </w:rPr>
        <w:t xml:space="preserve"> concepto de violación. Violación al principio de equidad tributaria.</w:t>
      </w:r>
    </w:p>
    <w:p w14:paraId="6BEBC122"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4E5D15A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Sostiene que el artículo 28, fracción XXXII, de la Ley del Impuesto sobre la Renta es violatorio del </w:t>
      </w:r>
      <w:r w:rsidRPr="00BD02B4">
        <w:rPr>
          <w:rFonts w:ascii="Arial" w:eastAsiaTheme="minorHAnsi" w:hAnsi="Arial" w:cs="Arial"/>
          <w:b/>
          <w:sz w:val="28"/>
          <w:szCs w:val="28"/>
          <w:lang w:eastAsia="en-US"/>
        </w:rPr>
        <w:t>principio de equidad tributaria</w:t>
      </w:r>
      <w:r w:rsidRPr="00BD02B4">
        <w:rPr>
          <w:rFonts w:ascii="Arial" w:eastAsiaTheme="minorHAnsi" w:hAnsi="Arial" w:cs="Arial"/>
          <w:bCs/>
          <w:sz w:val="28"/>
          <w:szCs w:val="28"/>
          <w:lang w:eastAsia="en-US"/>
        </w:rPr>
        <w:t>, pues del análisis que se realice al precepto legal transcrito, podrá advertir que da un trato diferenciado a los siguientes contribuyentes:</w:t>
      </w:r>
    </w:p>
    <w:p w14:paraId="6413D16C"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675619D0" w14:textId="320D0345"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1)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 xml:space="preserve">y las personas morales independientes que tienen intereses devengados en un ejercicio superior a dicho importe. </w:t>
      </w:r>
    </w:p>
    <w:p w14:paraId="6D292AE2"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5F5F16A3" w14:textId="07F0E38B"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2)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o partes relacionadas que en su conjunto tienen intereses devengados en un ejercicio superior a dicho importe.</w:t>
      </w:r>
    </w:p>
    <w:p w14:paraId="5DF452D7"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011AE3F7" w14:textId="61EC9F13"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3) Entre las personas morales miembros de un mismo grupo o partes relacionadas que en su conjunto tienen intereses devengados en el </w:t>
      </w:r>
      <w:r w:rsidRPr="00BD02B4">
        <w:rPr>
          <w:rFonts w:ascii="Arial" w:eastAsiaTheme="minorHAnsi" w:hAnsi="Arial" w:cs="Arial"/>
          <w:sz w:val="28"/>
          <w:szCs w:val="28"/>
          <w:lang w:eastAsia="en-US"/>
        </w:rPr>
        <w:lastRenderedPageBreak/>
        <w:t>ejercicio por una cantidad menor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xml:space="preserve"> y las personas morales miembros de un mismo grupo o partes relacionadas que en su conjunto los intereses devengados en un ejercicio son superiores a dicho importe.</w:t>
      </w:r>
    </w:p>
    <w:p w14:paraId="7FA836B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73492A2E" w14:textId="7C26ACA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4) Entre las personas morales independientes que tienen intereses devengados en el ejercicio mayores a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que son partes relacionadas que en su conjunto tienen intereses devengados en un ejercicio superior a dicho importe.</w:t>
      </w:r>
    </w:p>
    <w:p w14:paraId="58E4288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43F4EDE9"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5) Entre los intereses que derivan de deuda contratada para financiar obras de infraestructura pública y los intereses que no derivan de deuda contratada para tal fin. </w:t>
      </w:r>
    </w:p>
    <w:p w14:paraId="2657D611" w14:textId="77777777" w:rsidR="000724C8" w:rsidRPr="00BD02B4" w:rsidRDefault="000724C8" w:rsidP="00004076">
      <w:pPr>
        <w:autoSpaceDE w:val="0"/>
        <w:autoSpaceDN w:val="0"/>
        <w:ind w:left="284" w:right="-232" w:hanging="284"/>
        <w:contextualSpacing/>
        <w:jc w:val="both"/>
        <w:rPr>
          <w:rFonts w:ascii="Arial" w:eastAsiaTheme="minorHAnsi" w:hAnsi="Arial" w:cs="Arial"/>
          <w:sz w:val="28"/>
          <w:szCs w:val="28"/>
          <w:lang w:eastAsia="en-US"/>
        </w:rPr>
      </w:pPr>
    </w:p>
    <w:p w14:paraId="12BC1C86"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sz w:val="28"/>
          <w:szCs w:val="28"/>
          <w:lang w:eastAsia="en-US"/>
        </w:rPr>
        <w:t xml:space="preserve">Refiere que todas las personas morales señaladas en los incisos anteriores se encuentran ante una situación comparable, pues se trata de personas </w:t>
      </w:r>
      <w:r w:rsidRPr="00BD02B4">
        <w:rPr>
          <w:rFonts w:ascii="Arial" w:eastAsiaTheme="minorHAnsi" w:hAnsi="Arial" w:cs="Arial"/>
          <w:bCs/>
          <w:sz w:val="28"/>
          <w:szCs w:val="28"/>
          <w:lang w:eastAsia="en-US"/>
        </w:rPr>
        <w:t>morales que tributan en el Título II de la Ley del Impuesto sobre la Renta y tienen intereses devengados en un ejercicio derivado de la contratación de deudas.</w:t>
      </w:r>
    </w:p>
    <w:p w14:paraId="559F0C0E"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A17311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Sostiene que de la exposición de motivos se desprende que el Ejecutivo Federal propuso la adición de la fracción XXXII al artículo 28 de la Ley del Impuesto sobre la Renta, tomando como referencia lo que supuestamente refiere el Reporte Final de la Acción 4 del Proyecto de BEPS de la OCDE, que de esta se advierte en esencia, que lo que supuestamente justifica la inclusión de las reglas que limitan la deducción de intereses, no es otra cosa que la implementación de estrategias fiscales que emplean empresas multinacionales para erosionar la base gravable en un país de alta imposición y trasladar las utilidades a un país de baja o nula imposición, a través del pago de intereses generados con motivo de deuda contratada precisamente en el país de alta imposición.</w:t>
      </w:r>
    </w:p>
    <w:p w14:paraId="16C21A1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074F4354" w14:textId="796C290C"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Aunado a lo anterior, de la exposición de motivos no se logra advertir cómo es que el excluir de la norma reclamada a los contribuyentes que tengan intereses devengados en un ejercicio fiscal que no exceden de la cantidad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se simplifica su aplicación; tampoco se logra advertir a qué se refiere el legislador federal con simplificar su aplicación.</w:t>
      </w:r>
      <w:r w:rsidR="003E03B2" w:rsidRPr="00BD02B4">
        <w:rPr>
          <w:rFonts w:ascii="Arial" w:eastAsiaTheme="minorHAnsi" w:hAnsi="Arial" w:cs="Arial"/>
          <w:sz w:val="28"/>
          <w:szCs w:val="28"/>
          <w:lang w:eastAsia="en-US"/>
        </w:rPr>
        <w:t xml:space="preserve"> </w:t>
      </w:r>
    </w:p>
    <w:p w14:paraId="06D68F3D"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041C098"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Ahora, si bien es cierto que la quejosa no acredita que por el momento forme parte de un grupo, también lo es que durante el ejercicio o en siguientes ejercicios podría ser miembro de uno, por lo que en cualquier momento resentirá los efectos económicos de la norma impugnada; sin que sobre recordar que al no existir en la norma reclamada una definición de lo que debe entenderse por parte relacionada, ni remisión a alguna disposición en particular, deja a la empresa quejosa en </w:t>
      </w:r>
      <w:r w:rsidRPr="00BD02B4">
        <w:rPr>
          <w:rFonts w:ascii="Arial" w:eastAsiaTheme="minorHAnsi" w:hAnsi="Arial" w:cs="Arial"/>
          <w:sz w:val="28"/>
          <w:szCs w:val="28"/>
          <w:lang w:eastAsia="en-US"/>
        </w:rPr>
        <w:lastRenderedPageBreak/>
        <w:t xml:space="preserve">completo estado de indefensión, al desconocer si tiene partes relacionadas para efectos de la norma reclamada. </w:t>
      </w:r>
    </w:p>
    <w:p w14:paraId="25867238"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54B6AD77" w14:textId="27BF9F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Adicionalmente, el monto de los intereses en sí mismo no constituye un parámetro objetivo para determinar a qué contribuyentes debe aplicar la norma y a cuáles no, pues pudiera ser que los contribuyentes que tienen intereses devengados en un ejercicio por menos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son los que adquieran deuda con la finalidad de obtener un beneficio fiscal indebido. De hecho, si se analiza debidamente el elemento que detona la distinción, ni siquiera está relacionado con los ingresos que tenga el contribuyente en el ejercicio que deducirá los intereses, lo que puede llegar al absurdo de que un contribuyente que no tuvo ingresos en el ejercicio deduzca intereses hasta por la cantidad de $19'999,999.99</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(diecinueve millones novecientos noventa y nueve mil novecientos noventa y nueve pesos 99/100 moneda nacional)</w:t>
      </w:r>
      <w:r w:rsidRPr="00BD02B4">
        <w:rPr>
          <w:rFonts w:ascii="Arial" w:eastAsiaTheme="minorHAnsi" w:hAnsi="Arial" w:cs="Arial"/>
          <w:sz w:val="28"/>
          <w:szCs w:val="28"/>
          <w:lang w:eastAsia="en-US"/>
        </w:rPr>
        <w:t xml:space="preserve">, obteniendo una pérdida fiscal que podrá deducir en ejercicios siguientes, mientras que un contribuyente que tuvo ingresos por $400'000,000.00 </w:t>
      </w:r>
      <w:r w:rsidR="00870B15" w:rsidRPr="00BD02B4">
        <w:rPr>
          <w:rFonts w:ascii="Arial" w:eastAsiaTheme="minorHAnsi" w:hAnsi="Arial" w:cs="Arial"/>
          <w:sz w:val="28"/>
          <w:szCs w:val="28"/>
          <w:lang w:eastAsia="en-US"/>
        </w:rPr>
        <w:t xml:space="preserve">(cuatrocientos millones de pesos 00/100) </w:t>
      </w:r>
      <w:r w:rsidRPr="00BD02B4">
        <w:rPr>
          <w:rFonts w:ascii="Arial" w:eastAsiaTheme="minorHAnsi" w:hAnsi="Arial" w:cs="Arial"/>
          <w:sz w:val="28"/>
          <w:szCs w:val="28"/>
          <w:lang w:eastAsia="en-US"/>
        </w:rPr>
        <w:t>y tuvo deudas que devengaron intereses por un monto superior a</w:t>
      </w:r>
      <w:r w:rsidR="007E7DA5" w:rsidRPr="00BD02B4">
        <w:rPr>
          <w:rFonts w:ascii="Arial" w:eastAsiaTheme="minorHAnsi" w:hAnsi="Arial" w:cs="Arial"/>
          <w:sz w:val="28"/>
          <w:szCs w:val="28"/>
          <w:lang w:eastAsia="en-US"/>
        </w:rPr>
        <w:t xml:space="preserve"> </w:t>
      </w:r>
      <w:r w:rsidRPr="00BD02B4">
        <w:rPr>
          <w:rFonts w:ascii="Arial" w:eastAsiaTheme="minorHAnsi" w:hAnsi="Arial" w:cs="Arial"/>
          <w:sz w:val="28"/>
          <w:szCs w:val="28"/>
          <w:lang w:eastAsia="en-US"/>
        </w:rPr>
        <w:t>$20'000,000.00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tendrá que sujetarse a las reglas de restricción a la limitación de intereses, por lo que, insístase, la distinción contenida en el artículo 28, fracción XXXII, de la Ley del Impuesto sobre la Renta, no constituye un medio apto y adecuado para conducir al fin perseguido por el legislador (que además de no haber quedado señalado con claridad, no es constitucionalmente válido), aunado al hech</w:t>
      </w:r>
      <w:r w:rsidR="007E7DA5" w:rsidRPr="00BD02B4">
        <w:rPr>
          <w:rFonts w:ascii="Arial" w:eastAsiaTheme="minorHAnsi" w:hAnsi="Arial" w:cs="Arial"/>
          <w:sz w:val="28"/>
          <w:szCs w:val="28"/>
          <w:lang w:eastAsia="en-US"/>
        </w:rPr>
        <w:t>o</w:t>
      </w:r>
      <w:r w:rsidRPr="00BD02B4">
        <w:rPr>
          <w:rFonts w:ascii="Arial" w:eastAsiaTheme="minorHAnsi" w:hAnsi="Arial" w:cs="Arial"/>
          <w:sz w:val="28"/>
          <w:szCs w:val="28"/>
          <w:lang w:eastAsia="en-US"/>
        </w:rPr>
        <w:t xml:space="preserve"> de que la configuración legal de la norma reclamada da lugar a una afectación desproporcionada o desmedida de los bienes y derechos constitucionalmente protegidos de la quejosa.</w:t>
      </w:r>
    </w:p>
    <w:p w14:paraId="7F299614"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96F7406" w14:textId="2E5407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en todos los casos se está en presencia de personas morales que tributan en el T</w:t>
      </w:r>
      <w:r w:rsidR="00631EE1"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 xml:space="preserve">tulo II de la Ley del </w:t>
      </w:r>
      <w:r w:rsidR="00BC0175" w:rsidRPr="00BD02B4">
        <w:rPr>
          <w:rFonts w:ascii="Arial" w:eastAsiaTheme="minorHAnsi" w:hAnsi="Arial" w:cs="Arial"/>
          <w:sz w:val="28"/>
          <w:szCs w:val="28"/>
          <w:lang w:eastAsia="en-US"/>
        </w:rPr>
        <w:t>I</w:t>
      </w:r>
      <w:r w:rsidRPr="00BD02B4">
        <w:rPr>
          <w:rFonts w:ascii="Arial" w:eastAsiaTheme="minorHAnsi" w:hAnsi="Arial" w:cs="Arial"/>
          <w:sz w:val="28"/>
          <w:szCs w:val="28"/>
          <w:lang w:eastAsia="en-US"/>
        </w:rPr>
        <w:t>mpuesto sobre la Renta que tienen intereses devengados en el ejercicio que derivan de deuda, resulta violatorio del principio de equidad tributaria que se haga una distinción (y limitación de sus derechos) con motivo del monto de los intereses devengados.</w:t>
      </w:r>
    </w:p>
    <w:p w14:paraId="43C306A3"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4EE1B2A" w14:textId="219A1CB6"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No se desprende de la norma reclamada ni de su exposición de motivos porqué se da un trato diferenciado entre las personas morales independientes y las personas morales de un mismo grupo o que son parte relacionadas, ni porqué a las primeras les permite deducir cuando menos el importe de $20'000,000.00 </w:t>
      </w:r>
      <w:r w:rsidR="00870B15"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los intereses netos del ejercicio que no superen el monto que resulte de aplicar la utilidad fiscal ajustada por la tasa del 30%, mientras qu</w:t>
      </w:r>
      <w:r w:rsidR="00FE612D" w:rsidRPr="00BD02B4">
        <w:rPr>
          <w:rFonts w:ascii="Arial" w:eastAsiaTheme="minorHAnsi" w:hAnsi="Arial" w:cs="Arial"/>
          <w:sz w:val="28"/>
          <w:szCs w:val="28"/>
          <w:lang w:eastAsia="en-US"/>
        </w:rPr>
        <w:t>e</w:t>
      </w:r>
      <w:r w:rsidRPr="00BD02B4">
        <w:rPr>
          <w:rFonts w:ascii="Arial" w:eastAsiaTheme="minorHAnsi" w:hAnsi="Arial" w:cs="Arial"/>
          <w:sz w:val="28"/>
          <w:szCs w:val="28"/>
          <w:lang w:eastAsia="en-US"/>
        </w:rPr>
        <w:t xml:space="preserve">, a las personas morales que son miembros de un mismo grupo o son partes relacionadas, sólo les permite deducir la </w:t>
      </w:r>
      <w:r w:rsidRPr="00BD02B4">
        <w:rPr>
          <w:rFonts w:ascii="Arial" w:eastAsiaTheme="minorHAnsi" w:hAnsi="Arial" w:cs="Arial"/>
          <w:sz w:val="28"/>
          <w:szCs w:val="28"/>
          <w:lang w:eastAsia="en-US"/>
        </w:rPr>
        <w:lastRenderedPageBreak/>
        <w:t>proporción que de los $20'000,000.00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les corresponde conforme al segundo párrafo de la fracción XXXII y los intereses netos del ejercicio que no superen el monto que resulte de aplicar la utilidad fiscal ajustada por la tasa del 30%.</w:t>
      </w:r>
    </w:p>
    <w:p w14:paraId="7D94ECE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25C1D58A" w14:textId="0B00A28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es inconcuso que la norma reclamada al dar un trato diferenciado a las personas morales independientes de las personas morales miembros de un mismo grupo o que son parte relacionadas, viola el principio de equidad tributaria, ya que no existe una finalidad leg</w:t>
      </w:r>
      <w:r w:rsidR="00BC0175"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tima (por los motivos ya señalados), ni la distinción constituye un medio apto y adecuado para alcanzar el objetivo que el legislador quiso alcanzar.</w:t>
      </w:r>
    </w:p>
    <w:p w14:paraId="1829CE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06DAE7CF" w14:textId="469FC3E2" w:rsidR="000724C8" w:rsidRPr="00BD02B4" w:rsidRDefault="00C36B41"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Señala que</w:t>
      </w:r>
      <w:r w:rsidR="000724C8" w:rsidRPr="00BD02B4">
        <w:rPr>
          <w:rFonts w:ascii="Arial" w:eastAsiaTheme="minorHAnsi" w:hAnsi="Arial" w:cs="Arial"/>
          <w:sz w:val="28"/>
          <w:szCs w:val="28"/>
          <w:lang w:eastAsia="en-US"/>
        </w:rPr>
        <w:t xml:space="preserve"> la norma reclamada hace una diferenciación entre los intereses que deriva de deuda contratada para financiar obras de infraestructura pública y los intereses de deudas que no se contrataron para ese fin, por el sólo hecho de que las obras públicas suelen necesitar un alto endeudamiento para realizarse, lo cual viola el principio de equidad tributaria, pues no hay nada que indique que las demás actividades que desarrollan los contribuyentes, particularmente, la aquí quejosa, no requiera un alto endeudamiento para realizarlas.</w:t>
      </w:r>
    </w:p>
    <w:p w14:paraId="16FBA7E0"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F63EE47" w14:textId="5060E6B3"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De hecho, debe tenerse presente que pudiera ser el caso de que las empresas que contratan deuda para financiar obra pública sean más solventes económicamente que aquéllas que no contratan deuda para tal fin, por lo que la diferenciación contenida en la norma reclamada carece de una finalidad legítima y no constituye un medio apto y adecuado para conducir al fin u objetivo que e</w:t>
      </w:r>
      <w:r w:rsidR="00BC0175" w:rsidRPr="00BD02B4">
        <w:rPr>
          <w:rFonts w:ascii="Arial" w:eastAsiaTheme="minorHAnsi" w:hAnsi="Arial" w:cs="Arial"/>
          <w:sz w:val="28"/>
          <w:szCs w:val="28"/>
          <w:lang w:eastAsia="en-US"/>
        </w:rPr>
        <w:t>l</w:t>
      </w:r>
      <w:r w:rsidRPr="00BD02B4">
        <w:rPr>
          <w:rFonts w:ascii="Arial" w:eastAsiaTheme="minorHAnsi" w:hAnsi="Arial" w:cs="Arial"/>
          <w:sz w:val="28"/>
          <w:szCs w:val="28"/>
          <w:lang w:eastAsia="en-US"/>
        </w:rPr>
        <w:t xml:space="preserve"> legislador quiso alcanzar.</w:t>
      </w:r>
    </w:p>
    <w:p w14:paraId="47B8F295"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1D3F2156" w14:textId="11B091D1"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En efecto, si partimos del razonamiento dado por el Ejecutivo Federal y por el Legislador Federal en la exposición de motivos para excluir de la aplicación de la norma a los intereses que deriven de deudas contratadas para financiar obras de infraestructura pública, consistente en que: </w:t>
      </w:r>
      <w:r w:rsidRPr="00BD02B4">
        <w:rPr>
          <w:rFonts w:ascii="Arial" w:eastAsiaTheme="minorHAnsi" w:hAnsi="Arial" w:cs="Arial"/>
          <w:i/>
          <w:iCs/>
          <w:sz w:val="28"/>
          <w:szCs w:val="28"/>
          <w:lang w:eastAsia="en-US"/>
        </w:rPr>
        <w:t xml:space="preserve">"se ha considerado el alto endeudamiento que suelen necesitar obras de esta índole", </w:t>
      </w:r>
      <w:r w:rsidRPr="00BD02B4">
        <w:rPr>
          <w:rFonts w:ascii="Arial" w:eastAsiaTheme="minorHAnsi" w:hAnsi="Arial" w:cs="Arial"/>
          <w:sz w:val="28"/>
          <w:szCs w:val="28"/>
          <w:lang w:eastAsia="en-US"/>
        </w:rPr>
        <w:t>entonces, dicha exclusión debería darse a todos los intereses que deriven de deudas que se contraten por así necesitarlo la actividad desarrollada por el contribuyente.</w:t>
      </w:r>
    </w:p>
    <w:p w14:paraId="19EEA6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37A2AE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i/>
          <w:iCs/>
          <w:sz w:val="28"/>
          <w:szCs w:val="28"/>
          <w:lang w:eastAsia="en-US"/>
        </w:rPr>
      </w:pPr>
      <w:r w:rsidRPr="00BD02B4">
        <w:rPr>
          <w:rFonts w:ascii="Arial" w:eastAsiaTheme="minorHAnsi" w:hAnsi="Arial" w:cs="Arial"/>
          <w:sz w:val="28"/>
          <w:szCs w:val="28"/>
          <w:lang w:eastAsia="en-US"/>
        </w:rPr>
        <w:t xml:space="preserve">No debe soslayarse que los motivos que se dieron para excluir de la aplicación de la norma a los intereses que deriven de deuda contratadas para financiar obras de infraestructura pública, son diversos a los señalados para excluir a: </w:t>
      </w:r>
      <w:r w:rsidRPr="00BD02B4">
        <w:rPr>
          <w:rFonts w:ascii="Arial" w:eastAsiaTheme="minorHAnsi" w:hAnsi="Arial" w:cs="Arial"/>
          <w:i/>
          <w:iCs/>
          <w:sz w:val="28"/>
          <w:szCs w:val="28"/>
          <w:lang w:eastAsia="en-US"/>
        </w:rPr>
        <w:t xml:space="preserve">"los intereses que deriven de deudas contratadas para financiar (...) construcciones, incluyendo para la adquisición de terrenos donde se vaya'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realizar las mismas, ubicados en territorio nacional; para financiar proyecto para la exploración, extracción, transporte, almacenamiento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distribución del petróleo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de los hidrocarburos sólidos, liquidas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gaseosos, así como para otros proyectos de la industria extractiva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para la generación, </w:t>
      </w:r>
      <w:r w:rsidRPr="00BD02B4">
        <w:rPr>
          <w:rFonts w:ascii="Arial" w:eastAsiaTheme="minorHAnsi" w:hAnsi="Arial" w:cs="Arial"/>
          <w:i/>
          <w:iCs/>
          <w:sz w:val="28"/>
          <w:szCs w:val="28"/>
          <w:lang w:eastAsia="en-US"/>
        </w:rPr>
        <w:lastRenderedPageBreak/>
        <w:t xml:space="preserve">transmisión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almacenamiento de electricidad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agua. Esta fracción tampoco será aplicable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los rendimientos de deuda pública ...", </w:t>
      </w:r>
      <w:r w:rsidRPr="00BD02B4">
        <w:rPr>
          <w:rFonts w:ascii="Arial" w:eastAsiaTheme="minorHAnsi" w:hAnsi="Arial" w:cs="Arial"/>
          <w:sz w:val="28"/>
          <w:szCs w:val="28"/>
          <w:lang w:eastAsia="en-US"/>
        </w:rPr>
        <w:t xml:space="preserve">pues mientras a los primeros se les excluyó por considerar: </w:t>
      </w:r>
      <w:r w:rsidRPr="00BD02B4">
        <w:rPr>
          <w:rFonts w:ascii="Arial" w:eastAsiaTheme="minorHAnsi" w:hAnsi="Arial" w:cs="Arial"/>
          <w:i/>
          <w:iCs/>
          <w:sz w:val="28"/>
          <w:szCs w:val="28"/>
          <w:lang w:eastAsia="en-US"/>
        </w:rPr>
        <w:t xml:space="preserve">"el alto endeudamiento que suelen necesitar obras de ésta índole", </w:t>
      </w:r>
      <w:r w:rsidRPr="00BD02B4">
        <w:rPr>
          <w:rFonts w:ascii="Arial" w:eastAsiaTheme="minorHAnsi" w:hAnsi="Arial" w:cs="Arial"/>
          <w:sz w:val="28"/>
          <w:szCs w:val="28"/>
          <w:lang w:eastAsia="en-US"/>
        </w:rPr>
        <w:t xml:space="preserve">a los segundos se les excluyó: </w:t>
      </w:r>
      <w:r w:rsidRPr="00BD02B4">
        <w:rPr>
          <w:rFonts w:ascii="Arial" w:eastAsiaTheme="minorHAnsi" w:hAnsi="Arial" w:cs="Arial"/>
          <w:i/>
          <w:iCs/>
          <w:sz w:val="28"/>
          <w:szCs w:val="28"/>
          <w:lang w:eastAsia="en-US"/>
        </w:rPr>
        <w:t xml:space="preserve">"en virtud de que se quiere incentivar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dicho sector (...)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las empresas productivas del Estado por la finalidad pública de sus actividades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porque las mismas </w:t>
      </w:r>
      <w:r w:rsidRPr="00BD02B4">
        <w:rPr>
          <w:rFonts w:ascii="Arial" w:eastAsiaTheme="minorHAnsi" w:hAnsi="Arial" w:cs="Arial"/>
          <w:sz w:val="28"/>
          <w:szCs w:val="28"/>
          <w:lang w:eastAsia="en-US"/>
        </w:rPr>
        <w:t xml:space="preserve">ya se </w:t>
      </w:r>
      <w:r w:rsidRPr="00BD02B4">
        <w:rPr>
          <w:rFonts w:ascii="Arial" w:eastAsiaTheme="minorHAnsi" w:hAnsi="Arial" w:cs="Arial"/>
          <w:i/>
          <w:iCs/>
          <w:sz w:val="28"/>
          <w:szCs w:val="28"/>
          <w:lang w:eastAsia="en-US"/>
        </w:rPr>
        <w:t xml:space="preserve">encuentran comprendidas en la excepción principal (. . .) con la finalidad de fomentar la inversión en dichos sectores por considerarse primordiales para la economía del país". </w:t>
      </w:r>
    </w:p>
    <w:p w14:paraId="30CD9CCA" w14:textId="77777777" w:rsidR="000724C8" w:rsidRPr="00BD02B4" w:rsidRDefault="000724C8" w:rsidP="00004076">
      <w:pPr>
        <w:autoSpaceDE w:val="0"/>
        <w:autoSpaceDN w:val="0"/>
        <w:ind w:left="284" w:right="-232" w:hanging="284"/>
        <w:rPr>
          <w:rFonts w:ascii="Arial" w:eastAsiaTheme="minorHAnsi" w:hAnsi="Arial" w:cs="Arial"/>
          <w:i/>
          <w:iCs/>
          <w:sz w:val="28"/>
          <w:szCs w:val="28"/>
          <w:lang w:eastAsia="en-US"/>
        </w:rPr>
      </w:pPr>
    </w:p>
    <w:p w14:paraId="5B04D15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las actividades (diversas a obra pública) de los contribuyentes requieren un alto endeudamiento para llevarlos a cabo, deberían entonces también excluirse de la norma reclamada.</w:t>
      </w:r>
    </w:p>
    <w:p w14:paraId="62E0D0C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3A005062" w14:textId="77777777" w:rsidR="000724C8" w:rsidRPr="00BD02B4" w:rsidRDefault="000724C8" w:rsidP="00004076">
      <w:pPr>
        <w:autoSpaceDE w:val="0"/>
        <w:autoSpaceDN w:val="0"/>
        <w:ind w:right="-232"/>
        <w:contextualSpacing/>
        <w:rPr>
          <w:rFonts w:ascii="Arial" w:eastAsiaTheme="minorHAnsi" w:hAnsi="Arial" w:cs="Arial"/>
          <w:b/>
          <w:sz w:val="28"/>
          <w:szCs w:val="28"/>
          <w:lang w:eastAsia="en-US"/>
        </w:rPr>
      </w:pPr>
    </w:p>
    <w:p w14:paraId="391892EC" w14:textId="77777777" w:rsidR="000724C8" w:rsidRPr="00BD02B4" w:rsidRDefault="000724C8" w:rsidP="00004076">
      <w:pPr>
        <w:pStyle w:val="corte4fondoCar"/>
        <w:spacing w:line="240" w:lineRule="auto"/>
        <w:ind w:right="-232" w:firstLine="0"/>
        <w:contextualSpacing/>
        <w:rPr>
          <w:rFonts w:cs="Arial"/>
          <w:b/>
          <w:sz w:val="28"/>
          <w:szCs w:val="28"/>
        </w:rPr>
      </w:pPr>
      <w:r w:rsidRPr="00BD02B4">
        <w:rPr>
          <w:rFonts w:cs="Arial"/>
          <w:b/>
          <w:sz w:val="28"/>
          <w:szCs w:val="28"/>
        </w:rPr>
        <w:t>Cuarto concepto de violación. Violación al principio de legalidad y de seguridad jurídica.</w:t>
      </w:r>
    </w:p>
    <w:p w14:paraId="7EC940F8" w14:textId="77777777" w:rsidR="000724C8" w:rsidRPr="00BD02B4" w:rsidRDefault="000724C8" w:rsidP="00004076">
      <w:pPr>
        <w:pStyle w:val="corte4fondoCar"/>
        <w:ind w:right="-232" w:firstLine="0"/>
        <w:contextualSpacing/>
        <w:rPr>
          <w:rFonts w:cs="Arial"/>
          <w:b/>
          <w:sz w:val="28"/>
          <w:szCs w:val="28"/>
        </w:rPr>
      </w:pPr>
    </w:p>
    <w:p w14:paraId="09CE771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Solicitó que se analizara el presente concepto en primer término y solo en el supuesto no concedido de que se considerara infundado, entrar al análisis del primero, segundo y tercer agravios, ya que en el presente agravio se exponen vicios que trastocan en sí mismos la idoneidad o validez de la exposición de motivos que dio origen a la norma reclamada, lo cual trasciende al análisis de violación a los derechos fundamentales de proporcionalidad y equidad tributaria.</w:t>
      </w:r>
    </w:p>
    <w:p w14:paraId="50BC4151" w14:textId="77777777" w:rsidR="000724C8" w:rsidRPr="00BD02B4" w:rsidRDefault="000724C8" w:rsidP="00004076">
      <w:pPr>
        <w:autoSpaceDE w:val="0"/>
        <w:autoSpaceDN w:val="0"/>
        <w:ind w:left="284" w:right="-232" w:hanging="284"/>
        <w:contextualSpacing/>
        <w:jc w:val="both"/>
        <w:rPr>
          <w:rFonts w:ascii="Arial" w:eastAsiaTheme="minorHAnsi" w:hAnsi="Arial" w:cs="Arial"/>
          <w:bCs/>
          <w:sz w:val="28"/>
          <w:szCs w:val="28"/>
          <w:lang w:eastAsia="en-US"/>
        </w:rPr>
      </w:pPr>
    </w:p>
    <w:p w14:paraId="6122999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color w:val="000000"/>
          <w:sz w:val="28"/>
          <w:szCs w:val="28"/>
          <w:lang w:eastAsia="en-US"/>
        </w:rPr>
      </w:pPr>
      <w:r w:rsidRPr="00BD02B4">
        <w:rPr>
          <w:rFonts w:ascii="Arial" w:eastAsiaTheme="minorHAnsi" w:hAnsi="Arial" w:cs="Arial"/>
          <w:bCs/>
          <w:sz w:val="28"/>
          <w:szCs w:val="28"/>
          <w:lang w:eastAsia="en-US"/>
        </w:rPr>
        <w:t xml:space="preserve">Precisa que del </w:t>
      </w:r>
      <w:r w:rsidRPr="00BD02B4">
        <w:rPr>
          <w:rFonts w:ascii="Arial" w:eastAsiaTheme="minorHAnsi" w:hAnsi="Arial" w:cs="Arial"/>
          <w:sz w:val="28"/>
          <w:szCs w:val="28"/>
          <w:lang w:eastAsia="en-US"/>
        </w:rPr>
        <w:t>análisis</w:t>
      </w:r>
      <w:r w:rsidRPr="00BD02B4">
        <w:rPr>
          <w:rFonts w:ascii="Arial" w:eastAsiaTheme="minorHAnsi" w:hAnsi="Arial"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ascii="Arial" w:eastAsiaTheme="minorHAnsi" w:hAnsi="Arial"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ascii="Arial" w:eastAsiaTheme="minorHAnsi" w:hAnsi="Arial" w:cs="Arial"/>
          <w:i/>
          <w:iCs/>
          <w:color w:val="000000"/>
          <w:sz w:val="28"/>
          <w:szCs w:val="28"/>
          <w:lang w:eastAsia="en-US"/>
        </w:rPr>
        <w:t xml:space="preserve">"OECD (2015), </w:t>
      </w:r>
      <w:proofErr w:type="spellStart"/>
      <w:r w:rsidRPr="00BD02B4">
        <w:rPr>
          <w:rFonts w:ascii="Arial" w:eastAsiaTheme="minorHAnsi" w:hAnsi="Arial" w:cs="Arial"/>
          <w:i/>
          <w:iCs/>
          <w:color w:val="000000"/>
          <w:sz w:val="28"/>
          <w:szCs w:val="28"/>
          <w:lang w:eastAsia="en-US"/>
        </w:rPr>
        <w:t>Limiting</w:t>
      </w:r>
      <w:proofErr w:type="spellEnd"/>
      <w:r w:rsidRPr="00BD02B4">
        <w:rPr>
          <w:rFonts w:ascii="Arial" w:eastAsiaTheme="minorHAnsi" w:hAnsi="Arial" w:cs="Arial"/>
          <w:i/>
          <w:iCs/>
          <w:color w:val="000000"/>
          <w:sz w:val="28"/>
          <w:szCs w:val="28"/>
          <w:lang w:eastAsia="en-US"/>
        </w:rPr>
        <w:t xml:space="preserve"> Base </w:t>
      </w:r>
      <w:proofErr w:type="spellStart"/>
      <w:r w:rsidRPr="00BD02B4">
        <w:rPr>
          <w:rFonts w:ascii="Arial" w:eastAsiaTheme="minorHAnsi" w:hAnsi="Arial" w:cs="Arial"/>
          <w:i/>
          <w:iCs/>
          <w:color w:val="000000"/>
          <w:sz w:val="28"/>
          <w:szCs w:val="28"/>
          <w:lang w:eastAsia="en-US"/>
        </w:rPr>
        <w:t>Erosion</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Involving</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Interest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Deducfions</w:t>
      </w:r>
      <w:proofErr w:type="spellEnd"/>
      <w:r w:rsidRPr="00BD02B4">
        <w:rPr>
          <w:rFonts w:ascii="Arial" w:eastAsiaTheme="minorHAnsi" w:hAnsi="Arial" w:cs="Arial"/>
          <w:i/>
          <w:iCs/>
          <w:color w:val="000000"/>
          <w:sz w:val="28"/>
          <w:szCs w:val="28"/>
          <w:lang w:eastAsia="en-US"/>
        </w:rPr>
        <w:t xml:space="preserve"> and Other </w:t>
      </w:r>
      <w:proofErr w:type="spellStart"/>
      <w:r w:rsidRPr="00BD02B4">
        <w:rPr>
          <w:rFonts w:ascii="Arial" w:eastAsiaTheme="minorHAnsi" w:hAnsi="Arial" w:cs="Arial"/>
          <w:i/>
          <w:iCs/>
          <w:color w:val="000000"/>
          <w:sz w:val="28"/>
          <w:szCs w:val="28"/>
          <w:lang w:eastAsia="en-US"/>
        </w:rPr>
        <w:t>Financial</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Payments</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Acfion</w:t>
      </w:r>
      <w:proofErr w:type="spellEnd"/>
      <w:r w:rsidRPr="00BD02B4">
        <w:rPr>
          <w:rFonts w:ascii="Arial" w:eastAsiaTheme="minorHAnsi" w:hAnsi="Arial" w:cs="Arial"/>
          <w:i/>
          <w:iCs/>
          <w:color w:val="000000"/>
          <w:sz w:val="28"/>
          <w:szCs w:val="28"/>
          <w:lang w:eastAsia="en-US"/>
        </w:rPr>
        <w:t xml:space="preserve"> </w:t>
      </w:r>
      <w:r w:rsidRPr="00BD02B4">
        <w:rPr>
          <w:rFonts w:ascii="Arial" w:eastAsiaTheme="minorHAnsi" w:hAnsi="Arial" w:cs="Arial"/>
          <w:color w:val="000000"/>
          <w:sz w:val="28"/>
          <w:szCs w:val="28"/>
          <w:lang w:eastAsia="en-US"/>
        </w:rPr>
        <w:t xml:space="preserve">4 - </w:t>
      </w:r>
      <w:r w:rsidRPr="00BD02B4">
        <w:rPr>
          <w:rFonts w:ascii="Arial" w:eastAsiaTheme="minorHAnsi" w:hAnsi="Arial" w:cs="Arial"/>
          <w:i/>
          <w:iCs/>
          <w:color w:val="000000"/>
          <w:sz w:val="28"/>
          <w:szCs w:val="28"/>
          <w:lang w:eastAsia="en-US"/>
        </w:rPr>
        <w:t xml:space="preserve">2015 Final </w:t>
      </w:r>
      <w:proofErr w:type="spellStart"/>
      <w:r w:rsidRPr="00BD02B4">
        <w:rPr>
          <w:rFonts w:ascii="Arial" w:eastAsiaTheme="minorHAnsi" w:hAnsi="Arial" w:cs="Arial"/>
          <w:i/>
          <w:iCs/>
          <w:color w:val="000000"/>
          <w:sz w:val="28"/>
          <w:szCs w:val="28"/>
          <w:lang w:eastAsia="en-US"/>
        </w:rPr>
        <w:t>Report</w:t>
      </w:r>
      <w:proofErr w:type="spellEnd"/>
      <w:r w:rsidRPr="00BD02B4">
        <w:rPr>
          <w:rFonts w:ascii="Arial" w:eastAsiaTheme="minorHAnsi" w:hAnsi="Arial" w:cs="Arial"/>
          <w:i/>
          <w:iCs/>
          <w:color w:val="000000"/>
          <w:sz w:val="28"/>
          <w:szCs w:val="28"/>
          <w:lang w:eastAsia="en-US"/>
        </w:rPr>
        <w:t xml:space="preserve">, OECD/G20 Base Erosión and Profit Shifting Project, OECD </w:t>
      </w:r>
      <w:proofErr w:type="spellStart"/>
      <w:r w:rsidRPr="00BD02B4">
        <w:rPr>
          <w:rFonts w:ascii="Arial" w:eastAsiaTheme="minorHAnsi" w:hAnsi="Arial" w:cs="Arial"/>
          <w:i/>
          <w:iCs/>
          <w:color w:val="000000"/>
          <w:sz w:val="28"/>
          <w:szCs w:val="28"/>
          <w:lang w:eastAsia="en-US"/>
        </w:rPr>
        <w:t>Publishirg</w:t>
      </w:r>
      <w:proofErr w:type="spellEnd"/>
      <w:r w:rsidRPr="00BD02B4">
        <w:rPr>
          <w:rFonts w:ascii="Arial" w:eastAsiaTheme="minorHAnsi" w:hAnsi="Arial" w:cs="Arial"/>
          <w:i/>
          <w:iCs/>
          <w:color w:val="000000"/>
          <w:sz w:val="28"/>
          <w:szCs w:val="28"/>
          <w:lang w:eastAsia="en-US"/>
        </w:rPr>
        <w:t xml:space="preserve">, Paris", </w:t>
      </w:r>
      <w:r w:rsidRPr="00BD02B4">
        <w:rPr>
          <w:rFonts w:ascii="Arial" w:eastAsiaTheme="minorHAnsi" w:hAnsi="Arial" w:cs="Arial"/>
          <w:color w:val="000000"/>
          <w:sz w:val="28"/>
          <w:szCs w:val="28"/>
          <w:lang w:eastAsia="en-US"/>
        </w:rPr>
        <w:t xml:space="preserve">consultable en la página electrónica </w:t>
      </w:r>
      <w:r w:rsidRPr="00BD02B4">
        <w:rPr>
          <w:rFonts w:ascii="Arial" w:eastAsiaTheme="minorHAnsi" w:hAnsi="Arial" w:cs="Arial"/>
          <w:i/>
          <w:iCs/>
          <w:color w:val="000000"/>
          <w:sz w:val="28"/>
          <w:szCs w:val="28"/>
          <w:lang w:eastAsia="en-US"/>
        </w:rPr>
        <w:t>http://dx.doi.org/10.1787/9789264241176-en;</w:t>
      </w:r>
      <w:r w:rsidRPr="00BD02B4">
        <w:rPr>
          <w:rFonts w:ascii="Arial" w:eastAsiaTheme="minorHAnsi" w:hAnsi="Arial" w:cs="Arial"/>
          <w:i/>
          <w:iCs/>
          <w:color w:val="0000FF"/>
          <w:sz w:val="28"/>
          <w:szCs w:val="28"/>
          <w:lang w:eastAsia="en-US"/>
        </w:rPr>
        <w:t xml:space="preserve"> </w:t>
      </w:r>
      <w:r w:rsidRPr="00BD02B4">
        <w:rPr>
          <w:rFonts w:ascii="Arial" w:eastAsiaTheme="minorHAnsi" w:hAnsi="Arial"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y hacer lo que a su derecho conviene en el presente medio de defensa, por lo que se encuentra en total estado de incertidumbre jurídica e indefensión.</w:t>
      </w:r>
    </w:p>
    <w:p w14:paraId="076B158B"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3226274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Aduce que si el legislador federal tomó como sustento de su motivación para crear el precepto legal combatido, el contenido de un documento de un organismo internacional, lo que tendría que hacer es tomar en consideración el documento oficial (escrito y firmado en papel) y no el contenido de una página de internet, a fin de evitar errores en cuanto a su contenido; señalar cómo fue que tradujo dicho documento, es decir, si empleó o no un perito, pues es de explorado derecho que el Legislador Federal no es perito en la materia (tampoco el Ejecutivo Federal) y, finalmente, poner a disposición de los gobernados la traducción para su consulta, pues sólo de esa manera se les podría otorgar no solo certeza jurídica, sino la posibilidad de constatar si la finalidad expuesta por el Legislador Federal es o no constitucionalmente válida, si es o no racional o adecuada o si es o no proporcional en sentido estricto, es decir, si supera o no el test de proporcionalidad.</w:t>
      </w:r>
    </w:p>
    <w:p w14:paraId="7CBC8D1A"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87E09E4" w14:textId="3DD6C70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es, si la fuente que empleó el Legislador Federal (y el ejecutivo Federal) para motivar la emisión de la norma impugnada no es un documento de carácter oficial, está redactada en idioma inglés y aquél no es perito traductor, es inconcuso que la exposición de motivos de mérito no constituye un soporte idóneo ni válido para determinar si la norma reclamada persigue o no un fin constitucionalmente válido, si es racional o adecuada o si es proporcional en sentido estricto.</w:t>
      </w:r>
    </w:p>
    <w:p w14:paraId="3E619075"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0A1817B"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tanto, si la fuente que empleó el Legislador Federal (y el ejecutivo Federal) para motivar la expedición de la norma impugnada no es un documento de carácter oficial, está en idioma inglés, aquél no es perito traductor, ni se puso a disposición de los gobernados la traducción al español del documento oficial (si es que lo hay), éstos se encuentran en estado de incertidumbre jurídica y, por ende, en estado de indefensión, al no "saber a qué atenerse" respecto de la exposición de motivos y de la norma reclamada, ya que dichos vicios trastocan en sí misma la idoneidad y validez de los razonamientos y consideraciones expuestas por el legislador federal, en virtud de que no existe certeza en cuanto a si realmente del Reporte Final de la Acción 4 del Proyecto BEPS, se desprende o no lo señalado por el legislador federal (y por el ejecutivo federal), por lo que no pueden servir de sustento para analizar si el precepto legal combatido tiene o no un fin constitucionalmente válido, si es o no racional o adecuado o si es o no proporcional en sentido estricto, es decir, si supiera o no el test de proporcionalidad.</w:t>
      </w:r>
    </w:p>
    <w:p w14:paraId="7EF14FA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177702F0" w14:textId="511741BD"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i/>
          <w:iCs/>
          <w:sz w:val="28"/>
          <w:szCs w:val="28"/>
          <w:lang w:eastAsia="en-US"/>
        </w:rPr>
      </w:pPr>
      <w:r w:rsidRPr="00BD02B4">
        <w:rPr>
          <w:rFonts w:ascii="Arial" w:eastAsiaTheme="minorHAnsi" w:hAnsi="Arial" w:cs="Arial"/>
          <w:bCs/>
          <w:sz w:val="28"/>
          <w:szCs w:val="28"/>
          <w:lang w:eastAsia="en-US"/>
        </w:rPr>
        <w:t xml:space="preserve">Adicionalmente, precisa que la Segunda Sala de la Suprema Corte de Justicia de la Nación, al emitir la jurisprudencia 2a./J. 148/2016, número de registro 2012921, publicada en el Semanario Judicial de la Federación, Décima Época, Libro 35, Tomo 1, de Octubre de 2016, página 699, que posteriormente se transcribe, al analizar la constitucionalidad del Anexo 24 de la Resolución Miscelánea Fiscal para 2015, estableció que violaba los derechos fundamentales de legalidad y de seguridad jurídica, ya que entre otras cuestiones, al </w:t>
      </w:r>
      <w:r w:rsidRPr="00BD02B4">
        <w:rPr>
          <w:rFonts w:ascii="Arial" w:eastAsiaTheme="minorHAnsi" w:hAnsi="Arial" w:cs="Arial"/>
          <w:bCs/>
          <w:sz w:val="28"/>
          <w:szCs w:val="28"/>
          <w:lang w:eastAsia="en-US"/>
        </w:rPr>
        <w:lastRenderedPageBreak/>
        <w:t xml:space="preserve">establecer los lineamientos y formatos para cumplir con la obligación de llevar la contabilidad en medios electrónicos, remitía a los contribuyentes a la página de internet </w:t>
      </w:r>
      <w:hyperlink r:id="rId12" w:history="1">
        <w:r w:rsidRPr="00BD02B4">
          <w:rPr>
            <w:rFonts w:ascii="Arial" w:eastAsiaTheme="minorHAnsi" w:hAnsi="Arial" w:cs="Arial"/>
            <w:bCs/>
            <w:sz w:val="28"/>
            <w:szCs w:val="28"/>
            <w:lang w:eastAsia="en-US"/>
          </w:rPr>
          <w:t>http://www.w3.org</w:t>
        </w:r>
      </w:hyperlink>
      <w:r w:rsidRPr="00BD02B4">
        <w:rPr>
          <w:rFonts w:ascii="Arial" w:eastAsiaTheme="minorHAnsi" w:hAnsi="Arial" w:cs="Arial"/>
          <w:bCs/>
          <w:sz w:val="28"/>
          <w:szCs w:val="28"/>
          <w:lang w:eastAsia="en-US"/>
        </w:rPr>
        <w:t xml:space="preserve">., que estaba redactada el idioma inglés, lo que no les permitía conocer plenamente la forma de operar los formatos de marras. La jurisprudencia es del tenor literal siguiente: </w:t>
      </w:r>
      <w:r w:rsidRPr="00BD02B4">
        <w:rPr>
          <w:rFonts w:ascii="Arial" w:eastAsiaTheme="minorHAnsi" w:hAnsi="Arial" w:cs="Arial"/>
          <w:bCs/>
          <w:i/>
          <w:iCs/>
          <w:sz w:val="28"/>
          <w:szCs w:val="28"/>
          <w:lang w:eastAsia="en-US"/>
        </w:rPr>
        <w:t>"CONTABILIDAD ELECTRÓNICA. EL ANEXO 24 DE LA RESOLUCIÓN MISCELÁNEA FISCAL PARA 2015, PUBLICADO EN EL DIARIO OFICIAL DE LA FEDERACIÓN EL 5 DE ENERO DE 2015, VIOLA LOS DERECHOS A LA LEGALIDAD Y A LA SEGURIDAD JURÍDICA.”.</w:t>
      </w:r>
    </w:p>
    <w:p w14:paraId="4BB86291" w14:textId="77777777" w:rsidR="000724C8" w:rsidRPr="00BD02B4" w:rsidRDefault="000724C8" w:rsidP="00004076">
      <w:pPr>
        <w:pStyle w:val="Prrafodelista"/>
        <w:autoSpaceDE w:val="0"/>
        <w:autoSpaceDN w:val="0"/>
        <w:ind w:left="567" w:right="-232"/>
        <w:contextualSpacing/>
        <w:jc w:val="both"/>
        <w:rPr>
          <w:rFonts w:ascii="Arial" w:eastAsiaTheme="minorHAnsi" w:hAnsi="Arial" w:cs="Arial"/>
          <w:bCs/>
          <w:sz w:val="28"/>
          <w:szCs w:val="28"/>
          <w:lang w:eastAsia="en-US"/>
        </w:rPr>
      </w:pPr>
    </w:p>
    <w:p w14:paraId="7BAA230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si el legislador federal señaló como fuente de sus consideraciones un documento contenido en una página de internet, el mismo debería además de tener el carácter de oficial, estar redactado en idioma castellano o español y al no ser así, se violan los derechos fundamentales de legalidad y seguridad jurídica de la quejosa previstos en los artículos 14 y 16 en relación con el diverso 31, fracción IV, de la Constitución Política de los Estados Unidos Mexicanos, ya que no pueden corroborar si la norma reclamada tiene o no un fin constitucionalmente válido, si es o no racional, si es o no adecuada o si es no proporcional en sentido estricto, es decir, si supera o no el test de proporcionalidad. De hecho y con motivo de los vicios señalados, se hace valer que la norma reclamada no persigue un fin constitucionalmente válido, por lo que no es racional, no es adecuada, ni proporcional en sentido estricto.</w:t>
      </w:r>
    </w:p>
    <w:p w14:paraId="490F8369" w14:textId="5A2F9B3A" w:rsidR="000724C8" w:rsidRPr="00BD02B4" w:rsidRDefault="000724C8" w:rsidP="00004076">
      <w:pPr>
        <w:pStyle w:val="corte4fondo"/>
        <w:ind w:right="-232" w:firstLine="0"/>
        <w:contextualSpacing/>
        <w:rPr>
          <w:rFonts w:cs="Arial"/>
          <w:b/>
          <w:sz w:val="28"/>
          <w:szCs w:val="28"/>
          <w:lang w:val="es-MX"/>
        </w:rPr>
      </w:pPr>
    </w:p>
    <w:p w14:paraId="73313D51"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CUESTIÓN PREVIA</w:t>
      </w:r>
    </w:p>
    <w:p w14:paraId="430A3507" w14:textId="77777777" w:rsidR="000724C8" w:rsidRPr="00BD02B4" w:rsidRDefault="000724C8" w:rsidP="00004076">
      <w:pPr>
        <w:pStyle w:val="corte4fondo"/>
        <w:tabs>
          <w:tab w:val="left" w:pos="567"/>
        </w:tabs>
        <w:ind w:right="-232" w:hanging="567"/>
        <w:rPr>
          <w:rFonts w:cs="Arial"/>
          <w:b/>
          <w:sz w:val="28"/>
          <w:szCs w:val="28"/>
        </w:rPr>
      </w:pPr>
    </w:p>
    <w:p w14:paraId="79A116E5"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Una vez reseñados los argumentos de la parte quejosa, esta Primera Sala se ocupará de su análisis, en virtud de estar dirigidos a combatir la fracción XXXII del artículo 28 de la Ley del Impuesto sobre la Renta.</w:t>
      </w:r>
    </w:p>
    <w:p w14:paraId="33F848BA" w14:textId="77777777" w:rsidR="000724C8" w:rsidRPr="00BD02B4" w:rsidRDefault="000724C8" w:rsidP="00004076">
      <w:pPr>
        <w:pStyle w:val="corte4fondoCar"/>
        <w:ind w:right="-232" w:firstLine="0"/>
        <w:contextualSpacing/>
        <w:rPr>
          <w:rFonts w:cs="Arial"/>
          <w:b/>
          <w:sz w:val="28"/>
          <w:szCs w:val="28"/>
        </w:rPr>
      </w:pPr>
    </w:p>
    <w:p w14:paraId="570AD306" w14:textId="77777777" w:rsidR="000724C8" w:rsidRPr="00BD02B4" w:rsidRDefault="000724C8" w:rsidP="00004076">
      <w:pPr>
        <w:pStyle w:val="corte4fondo"/>
        <w:numPr>
          <w:ilvl w:val="0"/>
          <w:numId w:val="5"/>
        </w:numPr>
        <w:ind w:left="0" w:right="-232" w:hanging="567"/>
        <w:contextualSpacing/>
        <w:rPr>
          <w:rFonts w:eastAsiaTheme="minorHAnsi" w:cs="Arial"/>
          <w:bCs/>
          <w:sz w:val="28"/>
          <w:szCs w:val="28"/>
          <w:lang w:eastAsia="en-US"/>
        </w:rPr>
      </w:pPr>
      <w:r w:rsidRPr="00BD02B4">
        <w:rPr>
          <w:sz w:val="28"/>
          <w:szCs w:val="28"/>
        </w:rPr>
        <w:t>La lectura de los argumentos de la demanda nos hace advertir que la quejosa combate algunos de los aspectos regulados en la fracción reclamada, que se pueden sintetizar en las violaciones siguientes:</w:t>
      </w:r>
    </w:p>
    <w:p w14:paraId="554E63A5" w14:textId="77777777" w:rsidR="000724C8" w:rsidRPr="00BD02B4" w:rsidRDefault="000724C8" w:rsidP="00004076">
      <w:pPr>
        <w:pStyle w:val="Prrafodelista"/>
        <w:ind w:right="-232"/>
        <w:rPr>
          <w:sz w:val="28"/>
          <w:szCs w:val="28"/>
        </w:rPr>
      </w:pPr>
    </w:p>
    <w:p w14:paraId="3B0409F8" w14:textId="788931A2" w:rsidR="003C6FA8" w:rsidRPr="00BD02B4" w:rsidRDefault="000724C8" w:rsidP="00004076">
      <w:pPr>
        <w:pStyle w:val="corte4fondo"/>
        <w:spacing w:line="240" w:lineRule="auto"/>
        <w:ind w:right="-232" w:firstLine="0"/>
        <w:contextualSpacing/>
        <w:rPr>
          <w:rFonts w:cs="Arial"/>
          <w:bCs/>
          <w:iCs/>
          <w:sz w:val="28"/>
          <w:szCs w:val="28"/>
        </w:rPr>
      </w:pPr>
      <w:r w:rsidRPr="00BD02B4">
        <w:rPr>
          <w:b/>
          <w:bCs/>
          <w:sz w:val="28"/>
          <w:szCs w:val="28"/>
        </w:rPr>
        <w:t>a) Violación a los principios de legalidad tributaria y de seguridad jurídica</w:t>
      </w:r>
      <w:r w:rsidRPr="00BD02B4">
        <w:rPr>
          <w:sz w:val="28"/>
          <w:szCs w:val="28"/>
        </w:rPr>
        <w:t xml:space="preserve"> al no establecer una definición de lo que debe entenderse por parte relacionada, ni remitir a una disposición en particular, dejando en completo estado de indefensión a los contribuyentes;</w:t>
      </w:r>
      <w:r w:rsidR="003C6FA8" w:rsidRPr="00BD02B4">
        <w:rPr>
          <w:rFonts w:cs="Arial"/>
          <w:bCs/>
          <w:iCs/>
          <w:sz w:val="28"/>
          <w:szCs w:val="28"/>
        </w:rPr>
        <w:t xml:space="preserve"> no dice cómo debe repartirse el importe de $20’000,000.00 </w:t>
      </w:r>
      <w:r w:rsidR="00000FD1" w:rsidRPr="00BD02B4">
        <w:rPr>
          <w:rFonts w:cs="Arial"/>
          <w:bCs/>
          <w:iCs/>
          <w:sz w:val="28"/>
          <w:szCs w:val="28"/>
        </w:rPr>
        <w:t xml:space="preserve">(veinte millones de pesos 00/100 moneda nacional) </w:t>
      </w:r>
      <w:r w:rsidR="003C6FA8" w:rsidRPr="00BD02B4">
        <w:rPr>
          <w:rFonts w:cs="Arial"/>
          <w:bCs/>
          <w:iCs/>
          <w:sz w:val="28"/>
          <w:szCs w:val="28"/>
        </w:rPr>
        <w:t xml:space="preserve">cuando se está en presencia de contribuyentes que </w:t>
      </w:r>
      <w:r w:rsidR="003C6FA8" w:rsidRPr="00BD02B4">
        <w:rPr>
          <w:rFonts w:cs="Arial"/>
          <w:bCs/>
          <w:iCs/>
          <w:sz w:val="28"/>
          <w:szCs w:val="28"/>
        </w:rPr>
        <w:lastRenderedPageBreak/>
        <w:t>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54D4E1C7" w14:textId="77777777" w:rsidR="003C6FA8" w:rsidRPr="00BD02B4" w:rsidRDefault="003C6FA8" w:rsidP="00004076">
      <w:pPr>
        <w:pStyle w:val="Prrafodelista"/>
        <w:ind w:left="284" w:right="-232" w:hanging="284"/>
        <w:rPr>
          <w:rFonts w:ascii="Arial" w:hAnsi="Arial" w:cs="Arial"/>
          <w:bCs/>
          <w:iCs/>
          <w:sz w:val="28"/>
          <w:szCs w:val="28"/>
        </w:rPr>
      </w:pPr>
    </w:p>
    <w:p w14:paraId="4D5E96A9" w14:textId="7D781E47" w:rsidR="003C6FA8" w:rsidRPr="00BD02B4" w:rsidRDefault="003C6FA8" w:rsidP="00004076">
      <w:pPr>
        <w:pStyle w:val="corte4fondo"/>
        <w:spacing w:line="240" w:lineRule="auto"/>
        <w:ind w:right="-232" w:firstLine="0"/>
        <w:contextualSpacing/>
        <w:rPr>
          <w:rFonts w:cs="Arial"/>
          <w:bCs/>
          <w:iCs/>
          <w:sz w:val="28"/>
          <w:szCs w:val="28"/>
        </w:rPr>
      </w:pPr>
      <w:r w:rsidRPr="00BD02B4">
        <w:rPr>
          <w:rFonts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00FD1" w:rsidRPr="00BD02B4">
        <w:rPr>
          <w:rFonts w:cs="Arial"/>
          <w:bCs/>
          <w:iCs/>
          <w:sz w:val="28"/>
          <w:szCs w:val="28"/>
        </w:rPr>
        <w:t xml:space="preserve"> (veinte millones de pesos 00/100 moneda nacional)</w:t>
      </w:r>
      <w:r w:rsidRPr="00BD02B4">
        <w:rPr>
          <w:rFonts w:cs="Arial"/>
          <w:bCs/>
          <w:iCs/>
          <w:sz w:val="28"/>
          <w:szCs w:val="28"/>
        </w:rPr>
        <w:t>, les corresponde y, derivado de ello, cuales intereses podrán deducir y cuales no, lo que les impedirá deducir cualquier interés devengado y no señala cuál es el medio idóneo en que debe obrar dicha información.</w:t>
      </w:r>
    </w:p>
    <w:p w14:paraId="5D987A94" w14:textId="3DA36DB0" w:rsidR="003C6FA8" w:rsidRPr="00BD02B4" w:rsidRDefault="003C6FA8" w:rsidP="00004076">
      <w:pPr>
        <w:pStyle w:val="corte4fondo"/>
        <w:spacing w:line="240" w:lineRule="auto"/>
        <w:ind w:right="-232" w:firstLine="0"/>
        <w:contextualSpacing/>
        <w:rPr>
          <w:sz w:val="28"/>
          <w:szCs w:val="28"/>
        </w:rPr>
      </w:pPr>
    </w:p>
    <w:p w14:paraId="51E60D93" w14:textId="77777777"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b) Violación al principio de proporcionalidad tributaria</w:t>
      </w:r>
      <w:r w:rsidRPr="00BD02B4">
        <w:rPr>
          <w:sz w:val="28"/>
          <w:szCs w:val="28"/>
        </w:rPr>
        <w:t xml:space="preserve"> por la limitante que se impone para deducir la totalidad de los intereses derivados de las deudas no obstante que derivan de créditos, deudas o financiamientos estrictamente indispensables;</w:t>
      </w:r>
    </w:p>
    <w:p w14:paraId="01A3912E" w14:textId="77777777" w:rsidR="000724C8" w:rsidRPr="00BD02B4" w:rsidRDefault="000724C8" w:rsidP="00004076">
      <w:pPr>
        <w:pStyle w:val="corte4fondo"/>
        <w:spacing w:line="240" w:lineRule="auto"/>
        <w:ind w:right="-232" w:firstLine="0"/>
        <w:contextualSpacing/>
        <w:rPr>
          <w:sz w:val="28"/>
          <w:szCs w:val="28"/>
        </w:rPr>
      </w:pPr>
    </w:p>
    <w:p w14:paraId="7B053DD7" w14:textId="4AD52EE4"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c) Violación al principio de equidad tributaria</w:t>
      </w:r>
      <w:r w:rsidRPr="00BD02B4">
        <w:rPr>
          <w:sz w:val="28"/>
          <w:szCs w:val="28"/>
        </w:rPr>
        <w:t xml:space="preserve">, pues da un trato diferenciado a los siguientes contribuyentes: 1)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independientes que tienen intereses devengados en un ejercicio superior a dicho importe; 2)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miembros de un mismo grupo o partes relacionadas que en su conjunto tienen intereses devengados en un ejercicio superior a dicho importe; 3) Entre las personas morales miembros de un mismo grupo o partes relacionadas que en su conjunto tienen intereses devengados en el ejercicio por una cantidad menor de $20'000,000.00 </w:t>
      </w:r>
      <w:r w:rsidR="00000FD1" w:rsidRPr="00BD02B4">
        <w:rPr>
          <w:rFonts w:cs="Arial"/>
          <w:bCs/>
          <w:iCs/>
          <w:sz w:val="28"/>
          <w:szCs w:val="28"/>
        </w:rPr>
        <w:t xml:space="preserve">(veinte millones de pesos 00/100 moneda nacional) </w:t>
      </w:r>
      <w:r w:rsidRPr="00BD02B4">
        <w:rPr>
          <w:sz w:val="28"/>
          <w:szCs w:val="28"/>
        </w:rPr>
        <w:t>y las personas morales miembros de un mismo grupo o partes relacionadas que en su conjunto los intereses devengados en un ejercicio son superiores a dicho importe; 4) Entre las personas morales independientes que tienen intereses devengados en el ejercicio mayores a la cantidad de $20'000,000.00</w:t>
      </w:r>
      <w:r w:rsidR="00000FD1" w:rsidRPr="00BD02B4">
        <w:rPr>
          <w:sz w:val="28"/>
          <w:szCs w:val="28"/>
        </w:rPr>
        <w:t xml:space="preserve"> </w:t>
      </w:r>
      <w:r w:rsidR="00000FD1" w:rsidRPr="00BD02B4">
        <w:rPr>
          <w:rFonts w:cs="Arial"/>
          <w:bCs/>
          <w:iCs/>
          <w:sz w:val="28"/>
          <w:szCs w:val="28"/>
        </w:rPr>
        <w:t>(veinte millones de pesos 00/100 moneda nacional)</w:t>
      </w:r>
      <w:r w:rsidRPr="00BD02B4">
        <w:rPr>
          <w:sz w:val="28"/>
          <w:szCs w:val="28"/>
        </w:rPr>
        <w:t xml:space="preserve"> y las personas morales miembros de un mismo grupo que son partes relacionadas que en su conjunto tienen intereses devengados en un ejercicio superior a dicho importe; y, 5) Entre los intereses que derivan </w:t>
      </w:r>
      <w:r w:rsidRPr="00BD02B4">
        <w:rPr>
          <w:sz w:val="28"/>
          <w:szCs w:val="28"/>
        </w:rPr>
        <w:lastRenderedPageBreak/>
        <w:t>de deuda contratada para financiar obras de infraestructura pública y los intereses que no derivan de deuda contratada para tal fin y;</w:t>
      </w:r>
    </w:p>
    <w:p w14:paraId="132260CA" w14:textId="77777777" w:rsidR="000724C8" w:rsidRPr="00BD02B4" w:rsidRDefault="000724C8" w:rsidP="00004076">
      <w:pPr>
        <w:pStyle w:val="corte4fondo"/>
        <w:spacing w:line="240" w:lineRule="auto"/>
        <w:ind w:right="-232" w:firstLine="0"/>
        <w:contextualSpacing/>
        <w:rPr>
          <w:sz w:val="28"/>
          <w:szCs w:val="28"/>
        </w:rPr>
      </w:pPr>
    </w:p>
    <w:p w14:paraId="28E7D1D1" w14:textId="77777777" w:rsidR="000724C8" w:rsidRPr="00BD02B4" w:rsidRDefault="000724C8" w:rsidP="00004076">
      <w:pPr>
        <w:pStyle w:val="corte4fondo"/>
        <w:spacing w:line="240" w:lineRule="auto"/>
        <w:ind w:right="-232" w:firstLine="0"/>
        <w:contextualSpacing/>
        <w:rPr>
          <w:rFonts w:eastAsiaTheme="minorHAnsi" w:cs="Arial"/>
          <w:bCs/>
          <w:sz w:val="28"/>
          <w:szCs w:val="28"/>
          <w:lang w:eastAsia="en-US"/>
        </w:rPr>
      </w:pPr>
      <w:r w:rsidRPr="00BD02B4">
        <w:rPr>
          <w:b/>
          <w:bCs/>
          <w:sz w:val="28"/>
          <w:szCs w:val="28"/>
        </w:rPr>
        <w:t xml:space="preserve">d) Violación a los principios de legalidad tributaria, seguridad jurídica y razonabilidad legislativa, </w:t>
      </w:r>
      <w:r w:rsidRPr="00BD02B4">
        <w:rPr>
          <w:rFonts w:eastAsiaTheme="minorHAnsi" w:cs="Arial"/>
          <w:bCs/>
          <w:sz w:val="28"/>
          <w:szCs w:val="28"/>
          <w:lang w:eastAsia="en-US"/>
        </w:rPr>
        <w:t>la norma impugnada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Deducfions</w:t>
      </w:r>
      <w:proofErr w:type="spellEnd"/>
      <w:r w:rsidRPr="00BD02B4">
        <w:rPr>
          <w:rFonts w:eastAsiaTheme="minorHAnsi" w:cs="Arial"/>
          <w:i/>
          <w:iCs/>
          <w:color w:val="000000"/>
          <w:sz w:val="28"/>
          <w:szCs w:val="28"/>
          <w:lang w:eastAsia="en-US"/>
        </w:rPr>
        <w:t xml:space="preserve"> and Other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Profit Shifting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r w:rsidRPr="00BD02B4">
        <w:rPr>
          <w:rFonts w:eastAsiaTheme="minorHAnsi" w:cs="Arial"/>
          <w:i/>
          <w:iCs/>
          <w:color w:val="000000"/>
          <w:sz w:val="28"/>
          <w:szCs w:val="28"/>
          <w:lang w:eastAsia="en-US"/>
        </w:rPr>
        <w:t>http://dx.doi.org/10.1787/9789264241176-en;</w:t>
      </w:r>
      <w:r w:rsidRPr="00BD02B4">
        <w:rPr>
          <w:rFonts w:eastAsiaTheme="minorHAnsi" w:cs="Arial"/>
          <w:i/>
          <w:iCs/>
          <w:color w:val="0000FF"/>
          <w:sz w:val="28"/>
          <w:szCs w:val="28"/>
          <w:lang w:eastAsia="en-US"/>
        </w:rPr>
        <w:t xml:space="preserve"> </w:t>
      </w:r>
      <w:r w:rsidRPr="00BD02B4">
        <w:rPr>
          <w:rFonts w:eastAsiaTheme="minorHAnsi"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por lo que se encuentra en total estado de incertidumbre jurídica e indefensión.</w:t>
      </w:r>
    </w:p>
    <w:p w14:paraId="60690DC0" w14:textId="77777777" w:rsidR="000724C8" w:rsidRPr="00BD02B4" w:rsidRDefault="000724C8" w:rsidP="00004076">
      <w:pPr>
        <w:pStyle w:val="Prrafodelista"/>
        <w:spacing w:line="360" w:lineRule="auto"/>
        <w:ind w:right="-232"/>
        <w:contextualSpacing/>
        <w:rPr>
          <w:rFonts w:ascii="Arial" w:hAnsi="Arial"/>
          <w:sz w:val="28"/>
          <w:szCs w:val="28"/>
        </w:rPr>
      </w:pPr>
    </w:p>
    <w:p w14:paraId="39415BE3" w14:textId="77777777" w:rsidR="000724C8" w:rsidRPr="00BD02B4" w:rsidRDefault="000724C8" w:rsidP="00004076">
      <w:pPr>
        <w:spacing w:line="360" w:lineRule="auto"/>
        <w:ind w:right="-232"/>
        <w:contextualSpacing/>
        <w:jc w:val="center"/>
        <w:rPr>
          <w:rFonts w:ascii="Arial" w:hAnsi="Arial"/>
          <w:b/>
          <w:sz w:val="28"/>
          <w:szCs w:val="28"/>
        </w:rPr>
      </w:pPr>
      <w:r w:rsidRPr="00BD02B4">
        <w:rPr>
          <w:rFonts w:ascii="Arial" w:hAnsi="Arial"/>
          <w:b/>
          <w:sz w:val="28"/>
          <w:szCs w:val="28"/>
        </w:rPr>
        <w:t>Contenido y estructura normativa de la fracción impugnada.</w:t>
      </w:r>
    </w:p>
    <w:p w14:paraId="1B6EE4D7" w14:textId="77777777" w:rsidR="000724C8" w:rsidRPr="00BD02B4" w:rsidRDefault="000724C8" w:rsidP="00004076">
      <w:pPr>
        <w:spacing w:line="360" w:lineRule="auto"/>
        <w:ind w:right="-232"/>
        <w:contextualSpacing/>
        <w:jc w:val="center"/>
        <w:rPr>
          <w:rFonts w:ascii="Arial" w:hAnsi="Arial"/>
          <w:b/>
          <w:sz w:val="28"/>
          <w:szCs w:val="28"/>
        </w:rPr>
      </w:pPr>
    </w:p>
    <w:p w14:paraId="084DC9A0"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De la cita al artículo 28, fracción XXXII, de la Ley del Impuesto sobre la Renta vigente a partir del uno de enero de dos mil veinte, podemos desprender el contenido y estructura siguiente:</w:t>
      </w:r>
    </w:p>
    <w:p w14:paraId="2B3CB779" w14:textId="77777777" w:rsidR="000724C8" w:rsidRPr="00BD02B4" w:rsidRDefault="000724C8" w:rsidP="00004076">
      <w:pPr>
        <w:pStyle w:val="corte4fondo"/>
        <w:ind w:right="-232" w:firstLine="0"/>
        <w:contextualSpacing/>
        <w:rPr>
          <w:sz w:val="28"/>
          <w:szCs w:val="28"/>
        </w:rPr>
      </w:pPr>
    </w:p>
    <w:tbl>
      <w:tblPr>
        <w:tblStyle w:val="Tablaconcuadrcula"/>
        <w:tblW w:w="0" w:type="auto"/>
        <w:tblLook w:val="04A0" w:firstRow="1" w:lastRow="0" w:firstColumn="1" w:lastColumn="0" w:noHBand="0" w:noVBand="1"/>
      </w:tblPr>
      <w:tblGrid>
        <w:gridCol w:w="1127"/>
        <w:gridCol w:w="4708"/>
        <w:gridCol w:w="2993"/>
      </w:tblGrid>
      <w:tr w:rsidR="000724C8" w:rsidRPr="00BD02B4" w14:paraId="5859627E" w14:textId="77777777" w:rsidTr="00154F90">
        <w:tc>
          <w:tcPr>
            <w:tcW w:w="1127" w:type="dxa"/>
            <w:tcBorders>
              <w:top w:val="single" w:sz="4" w:space="0" w:color="auto"/>
              <w:left w:val="single" w:sz="4" w:space="0" w:color="auto"/>
              <w:bottom w:val="single" w:sz="4" w:space="0" w:color="auto"/>
              <w:right w:val="single" w:sz="4" w:space="0" w:color="auto"/>
            </w:tcBorders>
          </w:tcPr>
          <w:p w14:paraId="53576736" w14:textId="77777777" w:rsidR="000724C8" w:rsidRPr="00BD02B4" w:rsidRDefault="000724C8" w:rsidP="00004076">
            <w:pPr>
              <w:pStyle w:val="Estilo"/>
              <w:ind w:right="-232"/>
              <w:rPr>
                <w:sz w:val="18"/>
                <w:szCs w:val="18"/>
              </w:rPr>
            </w:pPr>
          </w:p>
        </w:tc>
        <w:tc>
          <w:tcPr>
            <w:tcW w:w="4708" w:type="dxa"/>
            <w:tcBorders>
              <w:top w:val="single" w:sz="4" w:space="0" w:color="auto"/>
              <w:left w:val="single" w:sz="4" w:space="0" w:color="auto"/>
              <w:bottom w:val="single" w:sz="4" w:space="0" w:color="auto"/>
              <w:right w:val="single" w:sz="4" w:space="0" w:color="auto"/>
            </w:tcBorders>
          </w:tcPr>
          <w:p w14:paraId="5B1F5CAE" w14:textId="77777777" w:rsidR="000724C8" w:rsidRPr="00BD02B4" w:rsidRDefault="000724C8" w:rsidP="00AC62A8">
            <w:pPr>
              <w:pStyle w:val="Estilo"/>
              <w:rPr>
                <w:sz w:val="18"/>
                <w:szCs w:val="18"/>
              </w:rPr>
            </w:pPr>
            <w:r w:rsidRPr="00BD02B4">
              <w:rPr>
                <w:sz w:val="18"/>
                <w:szCs w:val="18"/>
              </w:rPr>
              <w:t>Artículo 28. Para los efectos de este Título, no serán deducibles:</w:t>
            </w:r>
          </w:p>
          <w:p w14:paraId="5D3365C9" w14:textId="77777777" w:rsidR="000724C8" w:rsidRPr="00BD02B4" w:rsidRDefault="000724C8" w:rsidP="00AC62A8">
            <w:pPr>
              <w:rPr>
                <w:rFonts w:ascii="Arial" w:hAnsi="Arial" w:cs="Arial"/>
                <w:sz w:val="18"/>
                <w:szCs w:val="18"/>
              </w:rPr>
            </w:pPr>
          </w:p>
        </w:tc>
        <w:tc>
          <w:tcPr>
            <w:tcW w:w="2993" w:type="dxa"/>
            <w:tcBorders>
              <w:top w:val="single" w:sz="4" w:space="0" w:color="auto"/>
              <w:left w:val="single" w:sz="4" w:space="0" w:color="auto"/>
              <w:bottom w:val="single" w:sz="4" w:space="0" w:color="auto"/>
              <w:right w:val="single" w:sz="4" w:space="0" w:color="auto"/>
            </w:tcBorders>
          </w:tcPr>
          <w:p w14:paraId="17D4C369" w14:textId="77777777" w:rsidR="000724C8" w:rsidRPr="00BD02B4" w:rsidRDefault="000724C8" w:rsidP="00AC62A8">
            <w:pPr>
              <w:rPr>
                <w:rFonts w:ascii="Arial" w:hAnsi="Arial" w:cs="Arial"/>
                <w:sz w:val="18"/>
                <w:szCs w:val="18"/>
              </w:rPr>
            </w:pPr>
          </w:p>
        </w:tc>
      </w:tr>
      <w:tr w:rsidR="000724C8" w:rsidRPr="00BD02B4" w14:paraId="59BCC4A4" w14:textId="77777777" w:rsidTr="00154F90">
        <w:trPr>
          <w:trHeight w:val="687"/>
        </w:trPr>
        <w:tc>
          <w:tcPr>
            <w:tcW w:w="1127" w:type="dxa"/>
            <w:tcBorders>
              <w:top w:val="single" w:sz="4" w:space="0" w:color="auto"/>
              <w:left w:val="single" w:sz="4" w:space="0" w:color="auto"/>
              <w:bottom w:val="single" w:sz="4" w:space="0" w:color="auto"/>
              <w:right w:val="single" w:sz="4" w:space="0" w:color="auto"/>
            </w:tcBorders>
            <w:hideMark/>
          </w:tcPr>
          <w:p w14:paraId="78246352" w14:textId="77777777" w:rsidR="000724C8" w:rsidRPr="00BD02B4" w:rsidRDefault="000724C8" w:rsidP="00004076">
            <w:pPr>
              <w:pStyle w:val="Estilo"/>
              <w:ind w:right="-232"/>
              <w:rPr>
                <w:sz w:val="18"/>
                <w:szCs w:val="18"/>
              </w:rPr>
            </w:pPr>
            <w:r w:rsidRPr="00BD02B4">
              <w:rPr>
                <w:sz w:val="18"/>
                <w:szCs w:val="18"/>
              </w:rPr>
              <w:t>Párrafo Primero</w:t>
            </w:r>
          </w:p>
        </w:tc>
        <w:tc>
          <w:tcPr>
            <w:tcW w:w="4708" w:type="dxa"/>
            <w:tcBorders>
              <w:top w:val="single" w:sz="4" w:space="0" w:color="auto"/>
              <w:left w:val="single" w:sz="4" w:space="0" w:color="auto"/>
              <w:bottom w:val="single" w:sz="4" w:space="0" w:color="auto"/>
              <w:right w:val="single" w:sz="4" w:space="0" w:color="auto"/>
            </w:tcBorders>
          </w:tcPr>
          <w:p w14:paraId="2703420B" w14:textId="77777777" w:rsidR="000724C8" w:rsidRPr="00BD02B4" w:rsidRDefault="000724C8" w:rsidP="00AC62A8">
            <w:pPr>
              <w:pStyle w:val="Estilo"/>
              <w:rPr>
                <w:sz w:val="18"/>
                <w:szCs w:val="18"/>
              </w:rPr>
            </w:pPr>
            <w:r w:rsidRPr="00BD02B4">
              <w:rPr>
                <w:sz w:val="18"/>
                <w:szCs w:val="18"/>
              </w:rPr>
              <w:t>XXXII. Los intereses netos del ejercicio que excedan del monto que resulte de multiplicar la utilidad fiscal ajustada por el 30%.</w:t>
            </w:r>
          </w:p>
        </w:tc>
        <w:tc>
          <w:tcPr>
            <w:tcW w:w="2993" w:type="dxa"/>
            <w:tcBorders>
              <w:top w:val="single" w:sz="4" w:space="0" w:color="auto"/>
              <w:left w:val="single" w:sz="4" w:space="0" w:color="auto"/>
              <w:bottom w:val="single" w:sz="4" w:space="0" w:color="auto"/>
              <w:right w:val="single" w:sz="4" w:space="0" w:color="auto"/>
            </w:tcBorders>
          </w:tcPr>
          <w:p w14:paraId="43096036"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CUALES SON LOS INTERESES NETOS NO DEDUCIBLES.</w:t>
            </w:r>
          </w:p>
        </w:tc>
      </w:tr>
      <w:tr w:rsidR="000724C8" w:rsidRPr="00BD02B4" w14:paraId="4F17F527" w14:textId="77777777" w:rsidTr="00154F90">
        <w:trPr>
          <w:trHeight w:val="2964"/>
        </w:trPr>
        <w:tc>
          <w:tcPr>
            <w:tcW w:w="1127" w:type="dxa"/>
            <w:tcBorders>
              <w:top w:val="single" w:sz="4" w:space="0" w:color="auto"/>
              <w:left w:val="single" w:sz="4" w:space="0" w:color="auto"/>
              <w:bottom w:val="single" w:sz="4" w:space="0" w:color="auto"/>
              <w:right w:val="single" w:sz="4" w:space="0" w:color="auto"/>
            </w:tcBorders>
            <w:hideMark/>
          </w:tcPr>
          <w:p w14:paraId="39D0BD4B" w14:textId="77777777" w:rsidR="000724C8" w:rsidRPr="00BD02B4" w:rsidRDefault="000724C8" w:rsidP="00004076">
            <w:pPr>
              <w:pStyle w:val="Estilo"/>
              <w:ind w:right="-232"/>
              <w:rPr>
                <w:sz w:val="18"/>
                <w:szCs w:val="18"/>
              </w:rPr>
            </w:pPr>
            <w:r w:rsidRPr="00BD02B4">
              <w:rPr>
                <w:sz w:val="18"/>
                <w:szCs w:val="18"/>
              </w:rPr>
              <w:t xml:space="preserve">Párrafo </w:t>
            </w:r>
          </w:p>
          <w:p w14:paraId="17FAA770" w14:textId="77777777" w:rsidR="000724C8" w:rsidRPr="00BD02B4" w:rsidRDefault="000724C8" w:rsidP="00004076">
            <w:pPr>
              <w:pStyle w:val="Estilo"/>
              <w:ind w:right="-232"/>
              <w:rPr>
                <w:sz w:val="18"/>
                <w:szCs w:val="18"/>
              </w:rPr>
            </w:pPr>
            <w:r w:rsidRPr="00BD02B4">
              <w:rPr>
                <w:sz w:val="18"/>
                <w:szCs w:val="18"/>
              </w:rPr>
              <w:t>Segundo</w:t>
            </w:r>
          </w:p>
        </w:tc>
        <w:tc>
          <w:tcPr>
            <w:tcW w:w="4708" w:type="dxa"/>
            <w:tcBorders>
              <w:top w:val="single" w:sz="4" w:space="0" w:color="auto"/>
              <w:left w:val="single" w:sz="4" w:space="0" w:color="auto"/>
              <w:bottom w:val="single" w:sz="4" w:space="0" w:color="auto"/>
              <w:right w:val="single" w:sz="4" w:space="0" w:color="auto"/>
            </w:tcBorders>
          </w:tcPr>
          <w:p w14:paraId="05F62837" w14:textId="77777777" w:rsidR="000724C8" w:rsidRPr="00BD02B4" w:rsidRDefault="000724C8" w:rsidP="00AC62A8">
            <w:pPr>
              <w:pStyle w:val="Estilo"/>
              <w:rPr>
                <w:sz w:val="18"/>
                <w:szCs w:val="18"/>
              </w:rPr>
            </w:pPr>
            <w:r w:rsidRPr="00BD02B4">
              <w:rPr>
                <w:sz w:val="18"/>
                <w:szCs w:val="18"/>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 artículo 24 de esta Ley. Esta cantidad se repartirá entre las personas miembros del grupo o partes relacionadas, en la proporción de los ingresos acumulables generados durante el ejercicio anterior por los contribuyentes a los que les aplica esta fracción.</w:t>
            </w:r>
          </w:p>
        </w:tc>
        <w:tc>
          <w:tcPr>
            <w:tcW w:w="2993" w:type="dxa"/>
            <w:tcBorders>
              <w:top w:val="single" w:sz="4" w:space="0" w:color="auto"/>
              <w:left w:val="single" w:sz="4" w:space="0" w:color="auto"/>
              <w:bottom w:val="single" w:sz="4" w:space="0" w:color="auto"/>
              <w:right w:val="single" w:sz="4" w:space="0" w:color="auto"/>
            </w:tcBorders>
          </w:tcPr>
          <w:p w14:paraId="4F71861E"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LOS SUJETOS QUE TENDRÁN QUE DETERMINAR LOS INTERESES NETOS NO DEDUCIBLES Y LA PROPORCIÓN QUE CORRESPONDA TRATÁNDOSE DE GRUPO SOCIETARIO.</w:t>
            </w:r>
          </w:p>
          <w:p w14:paraId="51331952" w14:textId="77777777" w:rsidR="000724C8" w:rsidRPr="00BD02B4" w:rsidRDefault="000724C8" w:rsidP="00AC62A8">
            <w:pPr>
              <w:jc w:val="both"/>
              <w:rPr>
                <w:rFonts w:ascii="Arial" w:hAnsi="Arial" w:cs="Arial"/>
                <w:b/>
                <w:bCs/>
                <w:sz w:val="16"/>
                <w:szCs w:val="16"/>
              </w:rPr>
            </w:pPr>
          </w:p>
          <w:p w14:paraId="305F3243" w14:textId="77777777" w:rsidR="000724C8" w:rsidRPr="00BD02B4" w:rsidRDefault="000724C8" w:rsidP="00AC62A8">
            <w:pPr>
              <w:pStyle w:val="Prrafodelista"/>
              <w:tabs>
                <w:tab w:val="left" w:pos="248"/>
              </w:tabs>
              <w:ind w:left="4"/>
              <w:contextualSpacing/>
              <w:jc w:val="both"/>
              <w:rPr>
                <w:rFonts w:ascii="Arial" w:hAnsi="Arial" w:cs="Arial"/>
                <w:sz w:val="16"/>
                <w:szCs w:val="16"/>
              </w:rPr>
            </w:pPr>
          </w:p>
        </w:tc>
      </w:tr>
      <w:tr w:rsidR="000724C8" w:rsidRPr="00BD02B4" w14:paraId="6185172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524B793" w14:textId="77777777" w:rsidR="000724C8" w:rsidRPr="00BD02B4" w:rsidRDefault="000724C8" w:rsidP="00004076">
            <w:pPr>
              <w:pStyle w:val="Estilo"/>
              <w:ind w:right="-232"/>
              <w:rPr>
                <w:sz w:val="18"/>
                <w:szCs w:val="18"/>
              </w:rPr>
            </w:pPr>
            <w:r w:rsidRPr="00BD02B4">
              <w:rPr>
                <w:sz w:val="18"/>
                <w:szCs w:val="18"/>
              </w:rPr>
              <w:t xml:space="preserve">Párrafo </w:t>
            </w:r>
          </w:p>
          <w:p w14:paraId="4CA37D82" w14:textId="77777777" w:rsidR="000724C8" w:rsidRPr="00BD02B4" w:rsidRDefault="000724C8" w:rsidP="00004076">
            <w:pPr>
              <w:pStyle w:val="Estilo"/>
              <w:ind w:right="-232"/>
              <w:rPr>
                <w:sz w:val="18"/>
                <w:szCs w:val="18"/>
              </w:rPr>
            </w:pPr>
            <w:r w:rsidRPr="00BD02B4">
              <w:rPr>
                <w:sz w:val="18"/>
                <w:szCs w:val="18"/>
              </w:rPr>
              <w:t>Tercero</w:t>
            </w:r>
          </w:p>
        </w:tc>
        <w:tc>
          <w:tcPr>
            <w:tcW w:w="4708" w:type="dxa"/>
            <w:tcBorders>
              <w:top w:val="single" w:sz="4" w:space="0" w:color="auto"/>
              <w:left w:val="single" w:sz="4" w:space="0" w:color="auto"/>
              <w:bottom w:val="single" w:sz="4" w:space="0" w:color="auto"/>
              <w:right w:val="single" w:sz="4" w:space="0" w:color="auto"/>
            </w:tcBorders>
          </w:tcPr>
          <w:p w14:paraId="3712CEC7" w14:textId="77777777" w:rsidR="000724C8" w:rsidRPr="00BD02B4" w:rsidRDefault="000724C8" w:rsidP="00AC62A8">
            <w:pPr>
              <w:pStyle w:val="Estilo"/>
              <w:rPr>
                <w:sz w:val="18"/>
                <w:szCs w:val="18"/>
              </w:rPr>
            </w:pPr>
            <w:r w:rsidRPr="00BD02B4">
              <w:rPr>
                <w:sz w:val="18"/>
                <w:szCs w:val="18"/>
              </w:rPr>
              <w:t xml:space="preserve">Los intereses netos del ejercicio corresponderán a la cantidad que resulte de restar al total de los intereses devengados durante el ejercicio que deriven de deudas del contribuyente, el total de los ingresos por intereses acumulados durante el mismo periodo y la cantidad señalada en el párrafo anterior. Esta fracción no será </w:t>
            </w:r>
            <w:r w:rsidRPr="00BD02B4">
              <w:rPr>
                <w:sz w:val="18"/>
                <w:szCs w:val="18"/>
              </w:rPr>
              <w:lastRenderedPageBreak/>
              <w:t>aplicable cuando el monto de los intereses acumulados sea igual o superior al monto de los intereses devengados.</w:t>
            </w:r>
          </w:p>
        </w:tc>
        <w:tc>
          <w:tcPr>
            <w:tcW w:w="2993" w:type="dxa"/>
            <w:tcBorders>
              <w:top w:val="single" w:sz="4" w:space="0" w:color="auto"/>
              <w:left w:val="single" w:sz="4" w:space="0" w:color="auto"/>
              <w:bottom w:val="single" w:sz="4" w:space="0" w:color="auto"/>
              <w:right w:val="single" w:sz="4" w:space="0" w:color="auto"/>
            </w:tcBorders>
          </w:tcPr>
          <w:p w14:paraId="67936702" w14:textId="50E5A9C8"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EL PROCEDIMIENTO PARA DETERMINAR INTERESES NETOS</w:t>
            </w:r>
            <w:r w:rsidR="00AC503C" w:rsidRPr="00BD02B4">
              <w:rPr>
                <w:rFonts w:ascii="Arial" w:hAnsi="Arial" w:cs="Arial"/>
                <w:b/>
                <w:bCs/>
                <w:sz w:val="16"/>
                <w:szCs w:val="16"/>
              </w:rPr>
              <w:t>.</w:t>
            </w:r>
          </w:p>
          <w:p w14:paraId="1CE392D8" w14:textId="77777777" w:rsidR="000724C8" w:rsidRPr="00BD02B4" w:rsidRDefault="000724C8" w:rsidP="00AC62A8">
            <w:pPr>
              <w:jc w:val="both"/>
              <w:rPr>
                <w:rFonts w:ascii="Arial" w:hAnsi="Arial" w:cs="Arial"/>
                <w:b/>
                <w:bCs/>
                <w:sz w:val="16"/>
                <w:szCs w:val="16"/>
              </w:rPr>
            </w:pPr>
          </w:p>
        </w:tc>
      </w:tr>
      <w:tr w:rsidR="000724C8" w:rsidRPr="00BD02B4" w14:paraId="3D07D20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9D5ECDD" w14:textId="77777777" w:rsidR="000724C8" w:rsidRPr="00BD02B4" w:rsidRDefault="000724C8" w:rsidP="00004076">
            <w:pPr>
              <w:pStyle w:val="Estilo"/>
              <w:ind w:right="-232"/>
              <w:rPr>
                <w:sz w:val="18"/>
                <w:szCs w:val="18"/>
              </w:rPr>
            </w:pPr>
            <w:r w:rsidRPr="00BD02B4">
              <w:rPr>
                <w:sz w:val="18"/>
                <w:szCs w:val="18"/>
              </w:rPr>
              <w:t>Párrafo Cuarto</w:t>
            </w:r>
          </w:p>
        </w:tc>
        <w:tc>
          <w:tcPr>
            <w:tcW w:w="4708" w:type="dxa"/>
            <w:tcBorders>
              <w:top w:val="single" w:sz="4" w:space="0" w:color="auto"/>
              <w:left w:val="single" w:sz="4" w:space="0" w:color="auto"/>
              <w:bottom w:val="single" w:sz="4" w:space="0" w:color="auto"/>
              <w:right w:val="single" w:sz="4" w:space="0" w:color="auto"/>
            </w:tcBorders>
          </w:tcPr>
          <w:p w14:paraId="2EECAEE1" w14:textId="77777777" w:rsidR="000724C8" w:rsidRPr="00BD02B4" w:rsidRDefault="000724C8" w:rsidP="00AC62A8">
            <w:pPr>
              <w:pStyle w:val="Estilo"/>
              <w:rPr>
                <w:sz w:val="18"/>
                <w:szCs w:val="18"/>
              </w:rPr>
            </w:pPr>
            <w:r w:rsidRPr="00BD02B4">
              <w:rPr>
                <w:sz w:val="18"/>
                <w:szCs w:val="18"/>
              </w:rPr>
              <w:t>La utilidad fiscal ajustada será la cantidad que resulte de sumar a la utilidad fiscal señalada en la fracción I del artículo 9 de esta Ley, el total de los intereses devengados durante el ejercicio que deriven de deudas del contribuyente, así como el monto total deducido en el ejercicio por concepto de activos fijos, gastos diferidos, cargos diferidos y erogaciones realizadas en periodos preoperativos de conformidad con esta Ley y demás disposiciones fiscales.</w:t>
            </w:r>
          </w:p>
        </w:tc>
        <w:tc>
          <w:tcPr>
            <w:tcW w:w="2993" w:type="dxa"/>
            <w:tcBorders>
              <w:top w:val="single" w:sz="4" w:space="0" w:color="auto"/>
              <w:left w:val="single" w:sz="4" w:space="0" w:color="auto"/>
              <w:bottom w:val="single" w:sz="4" w:space="0" w:color="auto"/>
              <w:right w:val="single" w:sz="4" w:space="0" w:color="auto"/>
            </w:tcBorders>
          </w:tcPr>
          <w:p w14:paraId="48FDCA59"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EL PROCEDIMIENTO PARA DETERMINAR LA UTILIDAD FISCAL AJUSTADA CUANDO EN EL EJERCICIO SE OBTENGA UTILIDAD FISCAL.</w:t>
            </w:r>
          </w:p>
          <w:p w14:paraId="4B48A5A7" w14:textId="77777777" w:rsidR="000724C8" w:rsidRPr="00BD02B4" w:rsidRDefault="000724C8" w:rsidP="00AC62A8">
            <w:pPr>
              <w:jc w:val="both"/>
              <w:rPr>
                <w:rFonts w:ascii="Arial" w:hAnsi="Arial" w:cs="Arial"/>
                <w:sz w:val="16"/>
                <w:szCs w:val="16"/>
              </w:rPr>
            </w:pPr>
          </w:p>
        </w:tc>
      </w:tr>
      <w:tr w:rsidR="000724C8" w:rsidRPr="00BD02B4" w14:paraId="49EB6D6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01158FE" w14:textId="77777777" w:rsidR="000724C8" w:rsidRPr="00BD02B4" w:rsidRDefault="000724C8" w:rsidP="00004076">
            <w:pPr>
              <w:pStyle w:val="Estilo"/>
              <w:ind w:right="-232"/>
              <w:rPr>
                <w:sz w:val="18"/>
                <w:szCs w:val="18"/>
              </w:rPr>
            </w:pPr>
            <w:r w:rsidRPr="00BD02B4">
              <w:rPr>
                <w:sz w:val="18"/>
                <w:szCs w:val="18"/>
              </w:rPr>
              <w:t>Párrafo Quinto</w:t>
            </w:r>
          </w:p>
        </w:tc>
        <w:tc>
          <w:tcPr>
            <w:tcW w:w="4708" w:type="dxa"/>
            <w:tcBorders>
              <w:top w:val="single" w:sz="4" w:space="0" w:color="auto"/>
              <w:left w:val="single" w:sz="4" w:space="0" w:color="auto"/>
              <w:bottom w:val="single" w:sz="4" w:space="0" w:color="auto"/>
              <w:right w:val="single" w:sz="4" w:space="0" w:color="auto"/>
            </w:tcBorders>
            <w:hideMark/>
          </w:tcPr>
          <w:p w14:paraId="648FEB2D" w14:textId="77777777" w:rsidR="000724C8" w:rsidRPr="00BD02B4" w:rsidRDefault="000724C8" w:rsidP="00AC62A8">
            <w:pPr>
              <w:pStyle w:val="Estilo"/>
              <w:rPr>
                <w:sz w:val="18"/>
                <w:szCs w:val="18"/>
              </w:rPr>
            </w:pPr>
            <w:r w:rsidRPr="00BD02B4">
              <w:rPr>
                <w:sz w:val="18"/>
                <w:szCs w:val="18"/>
              </w:rPr>
              <w:t xml:space="preserve">La utilidad fiscal ajustada será determinada aun cuando no se obtenga una utilidad fiscal de conformidad con la fracción I del artículo 9 de esta Ley o se genere una pérdida fiscal durante el ejercicio de conformidad con el párrafo primero del artículo 57 del mismo ordenamiento. En el caso que se genere una pérdida fiscal, se restará el monto de </w:t>
            </w:r>
            <w:proofErr w:type="gramStart"/>
            <w:r w:rsidRPr="00BD02B4">
              <w:rPr>
                <w:sz w:val="18"/>
                <w:szCs w:val="18"/>
              </w:rPr>
              <w:t>la misma</w:t>
            </w:r>
            <w:proofErr w:type="gramEnd"/>
            <w:r w:rsidRPr="00BD02B4">
              <w:rPr>
                <w:sz w:val="18"/>
                <w:szCs w:val="18"/>
              </w:rPr>
              <w:t xml:space="preserve"> de los conceptos señalados en el párrafo anterior. Cuando el monto de la utilidad fiscal ajustada resulte en cero o en un número negativo, se negará la deducción de la totalidad de los intereses a cargo del contribuyente, salvo por el monto que no se encuentre sujeto a esta fracción.</w:t>
            </w:r>
          </w:p>
        </w:tc>
        <w:tc>
          <w:tcPr>
            <w:tcW w:w="2993" w:type="dxa"/>
            <w:tcBorders>
              <w:top w:val="single" w:sz="4" w:space="0" w:color="auto"/>
              <w:left w:val="single" w:sz="4" w:space="0" w:color="auto"/>
              <w:bottom w:val="single" w:sz="4" w:space="0" w:color="auto"/>
              <w:right w:val="single" w:sz="4" w:space="0" w:color="auto"/>
            </w:tcBorders>
          </w:tcPr>
          <w:p w14:paraId="003E1490" w14:textId="15AF5073"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PROCEDIMIENTO PARA DETERMINAR LA UTILIDAD FISCAL AJUSTADA CUANDO NO SE OBTENGA UTILIDAD FISCAL O SE OBTENGA PÉRDIDA FISCAL</w:t>
            </w:r>
            <w:r w:rsidR="00AC503C" w:rsidRPr="00BD02B4">
              <w:rPr>
                <w:rFonts w:ascii="Arial" w:hAnsi="Arial" w:cs="Arial"/>
                <w:b/>
                <w:bCs/>
                <w:sz w:val="16"/>
                <w:szCs w:val="16"/>
              </w:rPr>
              <w:t>.</w:t>
            </w:r>
          </w:p>
          <w:p w14:paraId="68A78B69" w14:textId="77777777" w:rsidR="000724C8" w:rsidRPr="00BD02B4" w:rsidRDefault="000724C8" w:rsidP="00AC62A8">
            <w:pPr>
              <w:jc w:val="both"/>
              <w:rPr>
                <w:rFonts w:ascii="Arial" w:hAnsi="Arial" w:cs="Arial"/>
                <w:sz w:val="16"/>
                <w:szCs w:val="16"/>
              </w:rPr>
            </w:pPr>
          </w:p>
          <w:p w14:paraId="7E9C36B3" w14:textId="77777777" w:rsidR="000724C8" w:rsidRPr="00BD02B4" w:rsidRDefault="000724C8" w:rsidP="00AC62A8">
            <w:pPr>
              <w:jc w:val="both"/>
              <w:rPr>
                <w:rFonts w:ascii="Arial" w:hAnsi="Arial" w:cs="Arial"/>
                <w:b/>
                <w:bCs/>
                <w:sz w:val="16"/>
                <w:szCs w:val="16"/>
              </w:rPr>
            </w:pPr>
          </w:p>
        </w:tc>
      </w:tr>
      <w:tr w:rsidR="000724C8" w:rsidRPr="00BD02B4" w14:paraId="0255BF22"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23921E01" w14:textId="77777777" w:rsidR="0090745A" w:rsidRPr="00BD02B4" w:rsidRDefault="000724C8" w:rsidP="00004076">
            <w:pPr>
              <w:pStyle w:val="Estilo"/>
              <w:ind w:right="-232"/>
              <w:rPr>
                <w:sz w:val="18"/>
                <w:szCs w:val="18"/>
              </w:rPr>
            </w:pPr>
            <w:r w:rsidRPr="00BD02B4">
              <w:rPr>
                <w:sz w:val="18"/>
                <w:szCs w:val="18"/>
              </w:rPr>
              <w:t xml:space="preserve">Párrafo </w:t>
            </w:r>
          </w:p>
          <w:p w14:paraId="67D11CB3" w14:textId="54F70545" w:rsidR="000724C8" w:rsidRPr="00BD02B4" w:rsidRDefault="000724C8" w:rsidP="00004076">
            <w:pPr>
              <w:pStyle w:val="Estilo"/>
              <w:ind w:right="-232"/>
              <w:rPr>
                <w:sz w:val="18"/>
                <w:szCs w:val="18"/>
              </w:rPr>
            </w:pPr>
            <w:r w:rsidRPr="00BD02B4">
              <w:rPr>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5C46EAC6" w14:textId="77777777" w:rsidR="000724C8" w:rsidRPr="00BD02B4" w:rsidRDefault="000724C8" w:rsidP="00AC62A8">
            <w:pPr>
              <w:pStyle w:val="Estilo"/>
              <w:rPr>
                <w:sz w:val="18"/>
                <w:szCs w:val="18"/>
              </w:rPr>
            </w:pPr>
            <w:r w:rsidRPr="00BD02B4">
              <w:rPr>
                <w:sz w:val="18"/>
                <w:szCs w:val="18"/>
              </w:rPr>
              <w:t xml:space="preserve">Para efectos de los párrafos anteriores, el total de los intereses devengados durante el ejercicio que deriven de deudas del </w:t>
            </w:r>
            <w:proofErr w:type="gramStart"/>
            <w:r w:rsidRPr="00BD02B4">
              <w:rPr>
                <w:sz w:val="18"/>
                <w:szCs w:val="18"/>
              </w:rPr>
              <w:t>contribuyente,</w:t>
            </w:r>
            <w:proofErr w:type="gramEnd"/>
            <w:r w:rsidRPr="00BD02B4">
              <w:rPr>
                <w:sz w:val="18"/>
                <w:szCs w:val="18"/>
              </w:rPr>
              <w:t xml:space="preserve"> sólo incluye los montos deducibles de conformidad con esta Ley. Asimismo, el total de ingresos por intereses solo incluye los montos que se encuentren gravados durante el mismo ejercicio en términos de esta Ley.</w:t>
            </w:r>
          </w:p>
        </w:tc>
        <w:tc>
          <w:tcPr>
            <w:tcW w:w="2993" w:type="dxa"/>
            <w:tcBorders>
              <w:top w:val="single" w:sz="4" w:space="0" w:color="auto"/>
              <w:left w:val="single" w:sz="4" w:space="0" w:color="auto"/>
              <w:bottom w:val="single" w:sz="4" w:space="0" w:color="auto"/>
              <w:right w:val="single" w:sz="4" w:space="0" w:color="auto"/>
            </w:tcBorders>
          </w:tcPr>
          <w:p w14:paraId="27A98F6A" w14:textId="01AE09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CUÁLES SON LOS INTERESES QUE DEBERÁN INCLUIRSE EN EL CÁLCULO DE INTERESES NETOS</w:t>
            </w:r>
            <w:r w:rsidR="00AC503C" w:rsidRPr="00BD02B4">
              <w:rPr>
                <w:rFonts w:ascii="Arial" w:hAnsi="Arial" w:cs="Arial"/>
                <w:b/>
                <w:bCs/>
                <w:sz w:val="16"/>
                <w:szCs w:val="16"/>
              </w:rPr>
              <w:t>.</w:t>
            </w:r>
          </w:p>
          <w:p w14:paraId="2EEF950C" w14:textId="77777777" w:rsidR="000724C8" w:rsidRPr="00BD02B4" w:rsidRDefault="000724C8" w:rsidP="00AC62A8">
            <w:pPr>
              <w:jc w:val="both"/>
              <w:rPr>
                <w:rFonts w:ascii="Arial" w:hAnsi="Arial" w:cs="Arial"/>
                <w:b/>
                <w:bCs/>
                <w:sz w:val="16"/>
                <w:szCs w:val="16"/>
              </w:rPr>
            </w:pPr>
          </w:p>
          <w:p w14:paraId="3835C866" w14:textId="77777777" w:rsidR="000724C8" w:rsidRPr="00BD02B4" w:rsidRDefault="000724C8" w:rsidP="00AC62A8">
            <w:pPr>
              <w:pStyle w:val="Prrafodelista"/>
              <w:tabs>
                <w:tab w:val="left" w:pos="175"/>
              </w:tabs>
              <w:ind w:left="0"/>
              <w:contextualSpacing/>
              <w:jc w:val="both"/>
              <w:rPr>
                <w:rFonts w:ascii="Arial" w:hAnsi="Arial" w:cs="Arial"/>
                <w:b/>
                <w:bCs/>
                <w:sz w:val="16"/>
                <w:szCs w:val="16"/>
              </w:rPr>
            </w:pPr>
            <w:r w:rsidRPr="00BD02B4">
              <w:rPr>
                <w:rFonts w:ascii="Arial" w:hAnsi="Arial" w:cs="Arial"/>
                <w:b/>
                <w:bCs/>
                <w:sz w:val="16"/>
                <w:szCs w:val="16"/>
              </w:rPr>
              <w:t xml:space="preserve"> </w:t>
            </w:r>
          </w:p>
        </w:tc>
      </w:tr>
      <w:tr w:rsidR="000724C8" w:rsidRPr="00BD02B4" w14:paraId="0E5BB6A0" w14:textId="77777777" w:rsidTr="00154F90">
        <w:trPr>
          <w:trHeight w:val="2329"/>
        </w:trPr>
        <w:tc>
          <w:tcPr>
            <w:tcW w:w="1127" w:type="dxa"/>
            <w:tcBorders>
              <w:top w:val="single" w:sz="4" w:space="0" w:color="auto"/>
              <w:left w:val="single" w:sz="4" w:space="0" w:color="auto"/>
              <w:bottom w:val="single" w:sz="4" w:space="0" w:color="auto"/>
              <w:right w:val="single" w:sz="4" w:space="0" w:color="auto"/>
            </w:tcBorders>
            <w:hideMark/>
          </w:tcPr>
          <w:p w14:paraId="2E92392B"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Séptimo</w:t>
            </w:r>
          </w:p>
        </w:tc>
        <w:tc>
          <w:tcPr>
            <w:tcW w:w="4708" w:type="dxa"/>
            <w:tcBorders>
              <w:top w:val="single" w:sz="4" w:space="0" w:color="auto"/>
              <w:left w:val="single" w:sz="4" w:space="0" w:color="auto"/>
              <w:bottom w:val="single" w:sz="4" w:space="0" w:color="auto"/>
              <w:right w:val="single" w:sz="4" w:space="0" w:color="auto"/>
            </w:tcBorders>
            <w:hideMark/>
          </w:tcPr>
          <w:p w14:paraId="3AA7FAD8" w14:textId="77777777" w:rsidR="000724C8" w:rsidRPr="00BD02B4" w:rsidRDefault="000724C8" w:rsidP="00AC62A8">
            <w:pPr>
              <w:pStyle w:val="Estilo"/>
              <w:rPr>
                <w:sz w:val="18"/>
                <w:szCs w:val="18"/>
              </w:rPr>
            </w:pPr>
            <w:r w:rsidRPr="00BD02B4">
              <w:rPr>
                <w:sz w:val="18"/>
                <w:szCs w:val="18"/>
              </w:rPr>
              <w:t>Para efectos del cálculo señalado en esta fracción, el monto de la utilidad fiscal ajustada y los ingresos por intereses que tengan fuente extranjera, sólo se incluirán en estos conceptos por la misma proporción que deba pagarse el impuesto establecido por esta Ley, después de disminuir los impuestos sobre la renta extranjeros acreditados en términos del artículo 5 de esta Ley. Los ingresos acumulados y erogaciones deducibles para efectos de determinar el impuesto establecido en los artículos 176 y 177 de esta Ley, no se encuentran comprendidos dentro de los cálculos establecidos en esta fracción.</w:t>
            </w:r>
          </w:p>
        </w:tc>
        <w:tc>
          <w:tcPr>
            <w:tcW w:w="2993" w:type="dxa"/>
            <w:tcBorders>
              <w:top w:val="single" w:sz="4" w:space="0" w:color="auto"/>
              <w:left w:val="single" w:sz="4" w:space="0" w:color="auto"/>
              <w:bottom w:val="single" w:sz="4" w:space="0" w:color="auto"/>
              <w:right w:val="single" w:sz="4" w:space="0" w:color="auto"/>
            </w:tcBorders>
            <w:hideMark/>
          </w:tcPr>
          <w:p w14:paraId="594F013D" w14:textId="77777777" w:rsidR="000724C8" w:rsidRPr="00BD02B4" w:rsidRDefault="000724C8" w:rsidP="00AC62A8">
            <w:pPr>
              <w:jc w:val="center"/>
              <w:rPr>
                <w:rFonts w:ascii="Arial" w:hAnsi="Arial" w:cs="Arial"/>
                <w:sz w:val="16"/>
                <w:szCs w:val="16"/>
              </w:rPr>
            </w:pPr>
          </w:p>
          <w:p w14:paraId="46EF7A05" w14:textId="77777777" w:rsidR="000724C8" w:rsidRPr="00BD02B4" w:rsidRDefault="000724C8" w:rsidP="00AC62A8">
            <w:pPr>
              <w:jc w:val="center"/>
              <w:rPr>
                <w:rFonts w:ascii="Arial" w:hAnsi="Arial" w:cs="Arial"/>
                <w:sz w:val="16"/>
                <w:szCs w:val="16"/>
              </w:rPr>
            </w:pPr>
          </w:p>
          <w:p w14:paraId="6C28EB21" w14:textId="77777777" w:rsidR="000724C8" w:rsidRPr="00BD02B4" w:rsidRDefault="000724C8" w:rsidP="00AC62A8">
            <w:pPr>
              <w:jc w:val="center"/>
              <w:rPr>
                <w:rFonts w:ascii="Arial" w:hAnsi="Arial" w:cs="Arial"/>
                <w:sz w:val="16"/>
                <w:szCs w:val="16"/>
              </w:rPr>
            </w:pPr>
          </w:p>
          <w:p w14:paraId="78D13E9B"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r w:rsidR="000724C8" w:rsidRPr="00BD02B4" w14:paraId="5F8E1409"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F79C468"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Octavo</w:t>
            </w:r>
          </w:p>
        </w:tc>
        <w:tc>
          <w:tcPr>
            <w:tcW w:w="4708" w:type="dxa"/>
            <w:tcBorders>
              <w:top w:val="single" w:sz="4" w:space="0" w:color="auto"/>
              <w:left w:val="single" w:sz="4" w:space="0" w:color="auto"/>
              <w:bottom w:val="single" w:sz="4" w:space="0" w:color="auto"/>
              <w:right w:val="single" w:sz="4" w:space="0" w:color="auto"/>
            </w:tcBorders>
          </w:tcPr>
          <w:p w14:paraId="2D70B109" w14:textId="77777777" w:rsidR="000724C8" w:rsidRPr="00BD02B4" w:rsidRDefault="000724C8" w:rsidP="00AC62A8">
            <w:pPr>
              <w:pStyle w:val="Estilo"/>
              <w:rPr>
                <w:sz w:val="18"/>
                <w:szCs w:val="18"/>
              </w:rPr>
            </w:pPr>
            <w:r w:rsidRPr="00BD02B4">
              <w:rPr>
                <w:sz w:val="18"/>
                <w:szCs w:val="18"/>
              </w:rPr>
              <w:t>Para efectos de esta fracción, las ganancias o pérdidas cambiarias devengadas por la fluctuación de moneda extranjera no tendrán el tratamiento de intereses, salvo que deriven de un instrumento cuyo rendimiento sea considerado interés. Tampoco será considerado interés para efectos de esta fracción, las contraprestaciones por aceptación de un aval, salvo que se relacionen con un instrumento cuyo rendimiento sea considerado interés.</w:t>
            </w:r>
          </w:p>
        </w:tc>
        <w:tc>
          <w:tcPr>
            <w:tcW w:w="2993" w:type="dxa"/>
            <w:tcBorders>
              <w:top w:val="single" w:sz="4" w:space="0" w:color="auto"/>
              <w:left w:val="single" w:sz="4" w:space="0" w:color="auto"/>
              <w:bottom w:val="single" w:sz="4" w:space="0" w:color="auto"/>
              <w:right w:val="single" w:sz="4" w:space="0" w:color="auto"/>
            </w:tcBorders>
          </w:tcPr>
          <w:p w14:paraId="5744656F" w14:textId="0CB8A02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CONCEPTOS QUE EN GENERAL, NO SE CONSIDERAN INTERESES PARA LA DETERMINACIÓN DE LOS INTERESES NETOS DEDUCIBLES</w:t>
            </w:r>
            <w:r w:rsidR="00AC503C" w:rsidRPr="00BD02B4">
              <w:rPr>
                <w:rFonts w:ascii="Arial" w:hAnsi="Arial" w:cs="Arial"/>
                <w:b/>
                <w:bCs/>
                <w:sz w:val="16"/>
                <w:szCs w:val="16"/>
              </w:rPr>
              <w:t>.</w:t>
            </w:r>
          </w:p>
          <w:p w14:paraId="75F431E1" w14:textId="77777777" w:rsidR="000724C8" w:rsidRPr="00BD02B4" w:rsidRDefault="000724C8" w:rsidP="00AC62A8">
            <w:pPr>
              <w:jc w:val="both"/>
              <w:rPr>
                <w:rFonts w:ascii="Arial" w:hAnsi="Arial" w:cs="Arial"/>
                <w:b/>
                <w:bCs/>
                <w:sz w:val="16"/>
                <w:szCs w:val="16"/>
              </w:rPr>
            </w:pPr>
          </w:p>
          <w:p w14:paraId="342A8DC8" w14:textId="77777777" w:rsidR="000724C8" w:rsidRPr="00BD02B4" w:rsidRDefault="000724C8" w:rsidP="00AC62A8">
            <w:pPr>
              <w:pStyle w:val="Prrafodelista"/>
              <w:tabs>
                <w:tab w:val="left" w:pos="193"/>
              </w:tabs>
              <w:ind w:left="0"/>
              <w:contextualSpacing/>
              <w:jc w:val="both"/>
              <w:rPr>
                <w:rFonts w:ascii="Arial" w:hAnsi="Arial" w:cs="Arial"/>
                <w:b/>
                <w:bCs/>
                <w:sz w:val="16"/>
                <w:szCs w:val="16"/>
              </w:rPr>
            </w:pPr>
            <w:r w:rsidRPr="00BD02B4">
              <w:rPr>
                <w:rFonts w:ascii="Arial" w:hAnsi="Arial" w:cs="Arial"/>
                <w:sz w:val="16"/>
                <w:szCs w:val="16"/>
              </w:rPr>
              <w:t xml:space="preserve"> </w:t>
            </w:r>
          </w:p>
        </w:tc>
      </w:tr>
      <w:tr w:rsidR="000724C8" w:rsidRPr="00BD02B4" w14:paraId="199B5C1F"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8A38A10"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64F47E1F"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Noveno</w:t>
            </w:r>
          </w:p>
        </w:tc>
        <w:tc>
          <w:tcPr>
            <w:tcW w:w="4708" w:type="dxa"/>
            <w:tcBorders>
              <w:top w:val="single" w:sz="4" w:space="0" w:color="auto"/>
              <w:left w:val="single" w:sz="4" w:space="0" w:color="auto"/>
              <w:bottom w:val="single" w:sz="4" w:space="0" w:color="auto"/>
              <w:right w:val="single" w:sz="4" w:space="0" w:color="auto"/>
            </w:tcBorders>
          </w:tcPr>
          <w:p w14:paraId="12976433" w14:textId="77777777" w:rsidR="000724C8" w:rsidRPr="00BD02B4" w:rsidRDefault="000724C8" w:rsidP="00AC62A8">
            <w:pPr>
              <w:pStyle w:val="Estilo"/>
              <w:rPr>
                <w:rFonts w:cstheme="minorBidi"/>
                <w:sz w:val="18"/>
                <w:szCs w:val="18"/>
              </w:rPr>
            </w:pPr>
            <w:r w:rsidRPr="00BD02B4">
              <w:rPr>
                <w:sz w:val="18"/>
                <w:szCs w:val="18"/>
              </w:rPr>
              <w:t>El monto de los intereses no deducibles se determinará restando a los intereses netos del ejercicio, el límite determinado conforme a esta fracción. Si el resultado de este cálculo es cero o negativo, se permitirá la deducción de la totalidad de los intereses devengados a cargo del contribuyente de conformidad con esta fracción.</w:t>
            </w:r>
          </w:p>
        </w:tc>
        <w:tc>
          <w:tcPr>
            <w:tcW w:w="2993" w:type="dxa"/>
            <w:tcBorders>
              <w:top w:val="single" w:sz="4" w:space="0" w:color="auto"/>
              <w:left w:val="single" w:sz="4" w:space="0" w:color="auto"/>
              <w:bottom w:val="single" w:sz="4" w:space="0" w:color="auto"/>
              <w:right w:val="single" w:sz="4" w:space="0" w:color="auto"/>
            </w:tcBorders>
          </w:tcPr>
          <w:p w14:paraId="54EBB272" w14:textId="21E5DC9B"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PROCEDIMIENTO PARA DETERMINAR LOS INTERESES NO DEDUCIBLES</w:t>
            </w:r>
            <w:r w:rsidR="00AC503C" w:rsidRPr="00BD02B4">
              <w:rPr>
                <w:rFonts w:ascii="Arial" w:hAnsi="Arial" w:cs="Arial"/>
                <w:b/>
                <w:bCs/>
                <w:sz w:val="16"/>
                <w:szCs w:val="16"/>
              </w:rPr>
              <w:t>.</w:t>
            </w:r>
          </w:p>
          <w:p w14:paraId="7129A8E9" w14:textId="77777777" w:rsidR="000724C8" w:rsidRPr="00BD02B4" w:rsidRDefault="000724C8" w:rsidP="00AC62A8">
            <w:pPr>
              <w:jc w:val="both"/>
              <w:rPr>
                <w:rFonts w:ascii="Arial" w:hAnsi="Arial" w:cs="Arial"/>
                <w:b/>
                <w:bCs/>
                <w:sz w:val="16"/>
                <w:szCs w:val="16"/>
              </w:rPr>
            </w:pPr>
          </w:p>
          <w:p w14:paraId="6641E941" w14:textId="77777777" w:rsidR="000724C8" w:rsidRPr="00BD02B4" w:rsidRDefault="000724C8" w:rsidP="00AC62A8">
            <w:pPr>
              <w:jc w:val="both"/>
              <w:rPr>
                <w:rFonts w:ascii="Arial" w:hAnsi="Arial" w:cs="Arial"/>
                <w:sz w:val="16"/>
                <w:szCs w:val="16"/>
              </w:rPr>
            </w:pPr>
          </w:p>
          <w:p w14:paraId="099E5123" w14:textId="77777777" w:rsidR="000724C8" w:rsidRPr="00BD02B4" w:rsidRDefault="000724C8" w:rsidP="00AC62A8">
            <w:pPr>
              <w:jc w:val="both"/>
              <w:rPr>
                <w:rFonts w:ascii="Arial" w:hAnsi="Arial" w:cs="Arial"/>
                <w:sz w:val="16"/>
                <w:szCs w:val="16"/>
              </w:rPr>
            </w:pPr>
            <w:r w:rsidRPr="00BD02B4">
              <w:rPr>
                <w:rFonts w:ascii="Arial" w:hAnsi="Arial" w:cs="Arial"/>
                <w:sz w:val="16"/>
                <w:szCs w:val="16"/>
              </w:rPr>
              <w:t xml:space="preserve"> </w:t>
            </w:r>
          </w:p>
        </w:tc>
      </w:tr>
      <w:tr w:rsidR="000724C8" w:rsidRPr="00BD02B4" w14:paraId="21C2A7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829D1C6"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776181D4"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tc>
        <w:tc>
          <w:tcPr>
            <w:tcW w:w="4708" w:type="dxa"/>
            <w:tcBorders>
              <w:top w:val="single" w:sz="4" w:space="0" w:color="auto"/>
              <w:left w:val="single" w:sz="4" w:space="0" w:color="auto"/>
              <w:bottom w:val="single" w:sz="4" w:space="0" w:color="auto"/>
              <w:right w:val="single" w:sz="4" w:space="0" w:color="auto"/>
            </w:tcBorders>
            <w:hideMark/>
          </w:tcPr>
          <w:p w14:paraId="72BE873E" w14:textId="77777777" w:rsidR="000724C8" w:rsidRPr="00BD02B4" w:rsidRDefault="000724C8" w:rsidP="00AC62A8">
            <w:pPr>
              <w:pStyle w:val="Estilo"/>
              <w:rPr>
                <w:rFonts w:cstheme="minorBidi"/>
              </w:rPr>
            </w:pPr>
            <w:r w:rsidRPr="00BD02B4">
              <w:rPr>
                <w:sz w:val="18"/>
                <w:szCs w:val="18"/>
              </w:rPr>
              <w:t xml:space="preserve">El monto de los intereses netos del ejercicio que no sean deducibles de conformidad con esta fracción, </w:t>
            </w:r>
            <w:proofErr w:type="gramStart"/>
            <w:r w:rsidRPr="00BD02B4">
              <w:rPr>
                <w:sz w:val="18"/>
                <w:szCs w:val="18"/>
              </w:rPr>
              <w:t>podrán</w:t>
            </w:r>
            <w:proofErr w:type="gramEnd"/>
            <w:r w:rsidRPr="00BD02B4">
              <w:rPr>
                <w:sz w:val="18"/>
                <w:szCs w:val="18"/>
              </w:rPr>
              <w:t xml:space="preserve"> deducirse durante los diez ejercicios siguientes hasta agotarlo. El monto no deducido en los diez ejercicios </w:t>
            </w:r>
            <w:proofErr w:type="gramStart"/>
            <w:r w:rsidRPr="00BD02B4">
              <w:rPr>
                <w:sz w:val="18"/>
                <w:szCs w:val="18"/>
              </w:rPr>
              <w:t>siguientes,</w:t>
            </w:r>
            <w:proofErr w:type="gramEnd"/>
            <w:r w:rsidRPr="00BD02B4">
              <w:rPr>
                <w:sz w:val="18"/>
                <w:szCs w:val="18"/>
              </w:rPr>
              <w:t xml:space="preserve"> será no deducible. Dichos intereses netos pendientes por </w:t>
            </w:r>
            <w:proofErr w:type="gramStart"/>
            <w:r w:rsidRPr="00BD02B4">
              <w:rPr>
                <w:sz w:val="18"/>
                <w:szCs w:val="18"/>
              </w:rPr>
              <w:t>deducir,</w:t>
            </w:r>
            <w:proofErr w:type="gramEnd"/>
            <w:r w:rsidRPr="00BD02B4">
              <w:rPr>
                <w:sz w:val="18"/>
                <w:szCs w:val="18"/>
              </w:rPr>
              <w:t xml:space="preserve"> tendrán que sumarse a los intereses netos del siguiente ejercicio y la cantidad resultante deberá cumplir con lo dispuesto por esta misma fracción. Se considera que los primeros intereses por </w:t>
            </w:r>
            <w:proofErr w:type="gramStart"/>
            <w:r w:rsidRPr="00BD02B4">
              <w:rPr>
                <w:sz w:val="18"/>
                <w:szCs w:val="18"/>
              </w:rPr>
              <w:t>deducir,</w:t>
            </w:r>
            <w:proofErr w:type="gramEnd"/>
            <w:r w:rsidRPr="00BD02B4">
              <w:rPr>
                <w:sz w:val="18"/>
                <w:szCs w:val="18"/>
              </w:rPr>
              <w:t xml:space="preserve"> son los correspondientes a los ejercicios anteriores. Para efectos de este párrafo, se aplicarán las mismas reglas señaladas en el artículo 57 de esta Ley, salvo que algo distinto se señale expresamente en esta fracción. Lo dispuesto en este párrafo solo será aplicable si el contribuyente lleva un registro de los intereses netos pendientes por deducir, que esté a disposición de la autoridad fiscal.</w:t>
            </w:r>
          </w:p>
        </w:tc>
        <w:tc>
          <w:tcPr>
            <w:tcW w:w="2993" w:type="dxa"/>
            <w:tcBorders>
              <w:top w:val="single" w:sz="4" w:space="0" w:color="auto"/>
              <w:left w:val="single" w:sz="4" w:space="0" w:color="auto"/>
              <w:bottom w:val="single" w:sz="4" w:space="0" w:color="auto"/>
              <w:right w:val="single" w:sz="4" w:space="0" w:color="auto"/>
            </w:tcBorders>
            <w:hideMark/>
          </w:tcPr>
          <w:p w14:paraId="12573EA7" w14:textId="0A4CF341"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PLAZO PARA DEDUCIR LOS INTERESES QUE NO HUBIEREN SIDO DEDUCIDOS EN EL EJERCICIO</w:t>
            </w:r>
            <w:r w:rsidR="00AC503C" w:rsidRPr="00BD02B4">
              <w:rPr>
                <w:rFonts w:ascii="Arial" w:hAnsi="Arial" w:cs="Arial"/>
                <w:b/>
                <w:bCs/>
                <w:sz w:val="16"/>
                <w:szCs w:val="16"/>
              </w:rPr>
              <w:t>.</w:t>
            </w:r>
          </w:p>
          <w:p w14:paraId="380B3A26" w14:textId="77777777" w:rsidR="000724C8" w:rsidRPr="00BD02B4" w:rsidRDefault="000724C8" w:rsidP="00AC62A8">
            <w:pPr>
              <w:pStyle w:val="Prrafodelista"/>
              <w:tabs>
                <w:tab w:val="left" w:pos="220"/>
              </w:tabs>
              <w:ind w:left="4"/>
              <w:contextualSpacing/>
              <w:jc w:val="both"/>
              <w:rPr>
                <w:rFonts w:ascii="Arial" w:hAnsi="Arial" w:cs="Arial"/>
                <w:sz w:val="16"/>
                <w:szCs w:val="16"/>
              </w:rPr>
            </w:pPr>
          </w:p>
        </w:tc>
      </w:tr>
      <w:tr w:rsidR="000724C8" w:rsidRPr="00BD02B4" w14:paraId="7641D19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39F23A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4B28541A"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Undécimo</w:t>
            </w:r>
          </w:p>
        </w:tc>
        <w:tc>
          <w:tcPr>
            <w:tcW w:w="4708" w:type="dxa"/>
            <w:tcBorders>
              <w:top w:val="single" w:sz="4" w:space="0" w:color="auto"/>
              <w:left w:val="single" w:sz="4" w:space="0" w:color="auto"/>
              <w:bottom w:val="single" w:sz="4" w:space="0" w:color="auto"/>
              <w:right w:val="single" w:sz="4" w:space="0" w:color="auto"/>
            </w:tcBorders>
            <w:hideMark/>
          </w:tcPr>
          <w:p w14:paraId="652F4262" w14:textId="77777777" w:rsidR="000724C8" w:rsidRPr="00BD02B4" w:rsidRDefault="000724C8" w:rsidP="00AC62A8">
            <w:pPr>
              <w:pStyle w:val="Estilo"/>
              <w:rPr>
                <w:rFonts w:cstheme="minorBidi"/>
                <w:sz w:val="18"/>
                <w:szCs w:val="18"/>
              </w:rPr>
            </w:pPr>
            <w:r w:rsidRPr="00BD02B4">
              <w:rPr>
                <w:sz w:val="18"/>
                <w:szCs w:val="18"/>
              </w:rPr>
              <w:t xml:space="preserve">Lo dispuesto en esta fracción no será aplicable a los intereses que deriven de deudas contratadas para financiar obras de infraestructura pública, así como para </w:t>
            </w:r>
            <w:r w:rsidRPr="00BD02B4">
              <w:rPr>
                <w:sz w:val="18"/>
                <w:szCs w:val="18"/>
              </w:rPr>
              <w:lastRenderedPageBreak/>
              <w:t>financiar construcciones, incluyendo para la adquisición de terrenos donde se vayan a realizar las mismas, ubicados en territorio nacional; para financiar proyectos para la exploración, extracción, transporte, almacenamiento o distribución del petróleo y de los hidrocarburos sólidos, líquidos o gaseosos, así como para otros proyectos de la industria extractiva y para la generación, transmisión o almacenamiento de electricidad o agua. Esta fracción tampoco será aplicable a los rendimientos de deuda pública. Los ingresos que deriven de las actividades señaladas en este párrafo se tendrán que disminuir de la utilidad fiscal ajustada calculada de conformidad con esta fracción.</w:t>
            </w:r>
          </w:p>
        </w:tc>
        <w:tc>
          <w:tcPr>
            <w:tcW w:w="2993" w:type="dxa"/>
            <w:tcBorders>
              <w:top w:val="single" w:sz="4" w:space="0" w:color="auto"/>
              <w:left w:val="single" w:sz="4" w:space="0" w:color="auto"/>
              <w:bottom w:val="single" w:sz="4" w:space="0" w:color="auto"/>
              <w:right w:val="single" w:sz="4" w:space="0" w:color="auto"/>
            </w:tcBorders>
            <w:hideMark/>
          </w:tcPr>
          <w:p w14:paraId="61129ABE" w14:textId="451CBD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CASOS EN QUE NO SE APLICARÁ LA FRACCIÓN. (RENDIMIENTOS DE DEUDA PÚBLICA)</w:t>
            </w:r>
            <w:r w:rsidR="00AC503C" w:rsidRPr="00BD02B4">
              <w:rPr>
                <w:rFonts w:ascii="Arial" w:hAnsi="Arial" w:cs="Arial"/>
                <w:b/>
                <w:bCs/>
                <w:sz w:val="16"/>
                <w:szCs w:val="16"/>
              </w:rPr>
              <w:t>.</w:t>
            </w:r>
          </w:p>
          <w:p w14:paraId="21C74F81" w14:textId="77777777" w:rsidR="000724C8" w:rsidRPr="00BD02B4" w:rsidRDefault="000724C8" w:rsidP="00AC62A8">
            <w:pPr>
              <w:jc w:val="both"/>
              <w:rPr>
                <w:rFonts w:ascii="Arial" w:hAnsi="Arial" w:cs="Arial"/>
                <w:b/>
                <w:bCs/>
                <w:sz w:val="16"/>
                <w:szCs w:val="16"/>
              </w:rPr>
            </w:pPr>
          </w:p>
        </w:tc>
      </w:tr>
      <w:tr w:rsidR="000724C8" w:rsidRPr="00BD02B4" w14:paraId="0BDC37F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561283DE"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1F59B8C9"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Duodécimo</w:t>
            </w:r>
          </w:p>
        </w:tc>
        <w:tc>
          <w:tcPr>
            <w:tcW w:w="4708" w:type="dxa"/>
            <w:tcBorders>
              <w:top w:val="single" w:sz="4" w:space="0" w:color="auto"/>
              <w:left w:val="single" w:sz="4" w:space="0" w:color="auto"/>
              <w:bottom w:val="single" w:sz="4" w:space="0" w:color="auto"/>
              <w:right w:val="single" w:sz="4" w:space="0" w:color="auto"/>
            </w:tcBorders>
            <w:hideMark/>
          </w:tcPr>
          <w:p w14:paraId="5012C864" w14:textId="77777777" w:rsidR="000724C8" w:rsidRPr="00BD02B4" w:rsidRDefault="000724C8" w:rsidP="00AC62A8">
            <w:pPr>
              <w:pStyle w:val="Estilo"/>
              <w:rPr>
                <w:rFonts w:cstheme="minorBidi"/>
                <w:sz w:val="18"/>
                <w:szCs w:val="18"/>
              </w:rPr>
            </w:pPr>
            <w:r w:rsidRPr="00BD02B4">
              <w:rPr>
                <w:sz w:val="18"/>
                <w:szCs w:val="18"/>
              </w:rPr>
              <w:t>Lo señalado en esta fracción no será aplicable a las empresas productivas del Estado, ni a los integrantes del sistema financiero en la realización de las operaciones propias de su objeto.</w:t>
            </w:r>
          </w:p>
        </w:tc>
        <w:tc>
          <w:tcPr>
            <w:tcW w:w="2993" w:type="dxa"/>
            <w:tcBorders>
              <w:top w:val="single" w:sz="4" w:space="0" w:color="auto"/>
              <w:left w:val="single" w:sz="4" w:space="0" w:color="auto"/>
              <w:bottom w:val="single" w:sz="4" w:space="0" w:color="auto"/>
              <w:right w:val="single" w:sz="4" w:space="0" w:color="auto"/>
            </w:tcBorders>
            <w:hideMark/>
          </w:tcPr>
          <w:p w14:paraId="7B9E883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 xml:space="preserve">EXCLUYE EMPRESAS PRODUCTIVAS DEL ESTADO. </w:t>
            </w:r>
          </w:p>
        </w:tc>
      </w:tr>
      <w:tr w:rsidR="000724C8" w:rsidRPr="00BD02B4" w14:paraId="29944FA1"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1A5BC8FD"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Párrafo</w:t>
            </w:r>
          </w:p>
          <w:p w14:paraId="4E3A459C"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Décimo</w:t>
            </w:r>
          </w:p>
          <w:p w14:paraId="2C8D5840"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Tercero</w:t>
            </w:r>
          </w:p>
        </w:tc>
        <w:tc>
          <w:tcPr>
            <w:tcW w:w="4708" w:type="dxa"/>
            <w:tcBorders>
              <w:top w:val="single" w:sz="4" w:space="0" w:color="auto"/>
              <w:left w:val="single" w:sz="4" w:space="0" w:color="auto"/>
              <w:bottom w:val="single" w:sz="4" w:space="0" w:color="auto"/>
              <w:right w:val="single" w:sz="4" w:space="0" w:color="auto"/>
            </w:tcBorders>
            <w:hideMark/>
          </w:tcPr>
          <w:p w14:paraId="457F5C47" w14:textId="77777777" w:rsidR="000724C8" w:rsidRPr="00BD02B4" w:rsidRDefault="000724C8" w:rsidP="00AC62A8">
            <w:pPr>
              <w:pStyle w:val="Estilo"/>
              <w:rPr>
                <w:rFonts w:cstheme="minorBidi"/>
                <w:sz w:val="18"/>
                <w:szCs w:val="18"/>
              </w:rPr>
            </w:pPr>
            <w:r w:rsidRPr="00BD02B4">
              <w:rPr>
                <w:sz w:val="18"/>
                <w:szCs w:val="18"/>
              </w:rPr>
              <w:t>Lo dispuesto en esta fracción solo será aplicable cuando el monto de los intereses no deducibles determinado de conformidad con los párrafos anteriores sea superior al determinado de conformidad con la fracción XXVII de este artículo, en cuyo caso, dicha fracción no será aplicable.</w:t>
            </w:r>
          </w:p>
        </w:tc>
        <w:tc>
          <w:tcPr>
            <w:tcW w:w="2993" w:type="dxa"/>
            <w:tcBorders>
              <w:top w:val="single" w:sz="4" w:space="0" w:color="auto"/>
              <w:left w:val="single" w:sz="4" w:space="0" w:color="auto"/>
              <w:bottom w:val="single" w:sz="4" w:space="0" w:color="auto"/>
              <w:right w:val="single" w:sz="4" w:space="0" w:color="auto"/>
            </w:tcBorders>
            <w:hideMark/>
          </w:tcPr>
          <w:p w14:paraId="4203DF2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SOLO ES APLICABLE SI LOS INTERESES NO DEDUCIBLES, ES SUPERIOR AL DETERMINADO CONFORME A LA FRACCIÓN XXVII.</w:t>
            </w:r>
          </w:p>
        </w:tc>
      </w:tr>
      <w:tr w:rsidR="000724C8" w:rsidRPr="00BD02B4" w14:paraId="2FC8C4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39BFAE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09917F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p w14:paraId="2DD0724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Cuarto</w:t>
            </w:r>
          </w:p>
        </w:tc>
        <w:tc>
          <w:tcPr>
            <w:tcW w:w="4708" w:type="dxa"/>
            <w:tcBorders>
              <w:top w:val="single" w:sz="4" w:space="0" w:color="auto"/>
              <w:left w:val="single" w:sz="4" w:space="0" w:color="auto"/>
              <w:bottom w:val="single" w:sz="4" w:space="0" w:color="auto"/>
              <w:right w:val="single" w:sz="4" w:space="0" w:color="auto"/>
            </w:tcBorders>
            <w:hideMark/>
          </w:tcPr>
          <w:p w14:paraId="30BDA115" w14:textId="77777777" w:rsidR="000724C8" w:rsidRPr="00BD02B4" w:rsidRDefault="000724C8" w:rsidP="00AC62A8">
            <w:pPr>
              <w:pStyle w:val="Estilo"/>
              <w:rPr>
                <w:rFonts w:cstheme="minorBidi"/>
                <w:sz w:val="18"/>
                <w:szCs w:val="18"/>
              </w:rPr>
            </w:pPr>
            <w:r w:rsidRPr="00BD02B4">
              <w:rPr>
                <w:sz w:val="18"/>
                <w:szCs w:val="18"/>
              </w:rPr>
              <w:t>Lo señalado en esta fracción podrá determinarse, en el caso de sociedades pertenecientes a un mismo grupo de forma consolidada en los términos que dispongan las reglas de carácter general que al efecto emita el Servicio de Administración Tributaria.</w:t>
            </w:r>
          </w:p>
        </w:tc>
        <w:tc>
          <w:tcPr>
            <w:tcW w:w="2993" w:type="dxa"/>
            <w:tcBorders>
              <w:top w:val="single" w:sz="4" w:space="0" w:color="auto"/>
              <w:left w:val="single" w:sz="4" w:space="0" w:color="auto"/>
              <w:bottom w:val="single" w:sz="4" w:space="0" w:color="auto"/>
              <w:right w:val="single" w:sz="4" w:space="0" w:color="auto"/>
            </w:tcBorders>
            <w:hideMark/>
          </w:tcPr>
          <w:p w14:paraId="75D96370"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LA LIMITANTE PUEDE APLICAR A LA DEDUCCIÓN DE INTERESES CONSIDERADOS CONFORME A LAS REGLAS SAT.</w:t>
            </w:r>
          </w:p>
        </w:tc>
      </w:tr>
      <w:tr w:rsidR="000724C8" w:rsidRPr="00BD02B4" w14:paraId="160338D4" w14:textId="77777777" w:rsidTr="00154F90">
        <w:tc>
          <w:tcPr>
            <w:tcW w:w="1127" w:type="dxa"/>
            <w:tcBorders>
              <w:top w:val="single" w:sz="4" w:space="0" w:color="auto"/>
              <w:left w:val="single" w:sz="4" w:space="0" w:color="auto"/>
              <w:bottom w:val="single" w:sz="4" w:space="0" w:color="auto"/>
              <w:right w:val="single" w:sz="4" w:space="0" w:color="auto"/>
            </w:tcBorders>
          </w:tcPr>
          <w:p w14:paraId="4425B79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Quinto </w:t>
            </w:r>
          </w:p>
        </w:tc>
        <w:tc>
          <w:tcPr>
            <w:tcW w:w="4708" w:type="dxa"/>
            <w:tcBorders>
              <w:top w:val="single" w:sz="4" w:space="0" w:color="auto"/>
              <w:left w:val="single" w:sz="4" w:space="0" w:color="auto"/>
              <w:bottom w:val="single" w:sz="4" w:space="0" w:color="auto"/>
              <w:right w:val="single" w:sz="4" w:space="0" w:color="auto"/>
            </w:tcBorders>
            <w:hideMark/>
          </w:tcPr>
          <w:p w14:paraId="7601C638" w14:textId="77777777" w:rsidR="000724C8" w:rsidRPr="00BD02B4" w:rsidRDefault="000724C8" w:rsidP="00AC62A8">
            <w:pPr>
              <w:pStyle w:val="Estilo"/>
              <w:rPr>
                <w:rFonts w:cstheme="minorBidi"/>
                <w:sz w:val="18"/>
                <w:szCs w:val="18"/>
              </w:rPr>
            </w:pPr>
            <w:r w:rsidRPr="00BD02B4">
              <w:rPr>
                <w:sz w:val="18"/>
                <w:szCs w:val="18"/>
              </w:rPr>
              <w:t>[N. DE E. PERTENECE A LA FRACCIÓN XXXII, D.O.F. 9 DE DICIEMBRE DE 2019.]</w:t>
            </w:r>
          </w:p>
          <w:p w14:paraId="3D1E376C" w14:textId="77777777" w:rsidR="000724C8" w:rsidRPr="00BD02B4" w:rsidRDefault="000724C8" w:rsidP="00AC62A8">
            <w:pPr>
              <w:pStyle w:val="Estilo"/>
              <w:rPr>
                <w:sz w:val="18"/>
                <w:szCs w:val="18"/>
              </w:rPr>
            </w:pPr>
            <w:r w:rsidRPr="00BD02B4">
              <w:rPr>
                <w:sz w:val="18"/>
                <w:szCs w:val="18"/>
              </w:rPr>
              <w:t>El cálculo señalado en esta fracción se realizará al finalizar el ejercicio fiscal de que se trate y se reflejará en la declaración anual correspondiente.</w:t>
            </w:r>
          </w:p>
        </w:tc>
        <w:tc>
          <w:tcPr>
            <w:tcW w:w="2993" w:type="dxa"/>
            <w:tcBorders>
              <w:top w:val="single" w:sz="4" w:space="0" w:color="auto"/>
              <w:left w:val="single" w:sz="4" w:space="0" w:color="auto"/>
              <w:bottom w:val="single" w:sz="4" w:space="0" w:color="auto"/>
              <w:right w:val="single" w:sz="4" w:space="0" w:color="auto"/>
            </w:tcBorders>
            <w:hideMark/>
          </w:tcPr>
          <w:p w14:paraId="4B41056C"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TEMPORALIDAD PARA HACER EL CÁLCULO DE INTERESES NO DEDUCIBLES.</w:t>
            </w:r>
          </w:p>
          <w:p w14:paraId="1879DC40" w14:textId="77777777" w:rsidR="000724C8" w:rsidRPr="00BD02B4" w:rsidRDefault="000724C8" w:rsidP="00AC62A8">
            <w:pPr>
              <w:jc w:val="both"/>
              <w:rPr>
                <w:rFonts w:ascii="Arial" w:hAnsi="Arial" w:cs="Arial"/>
                <w:b/>
                <w:bCs/>
                <w:sz w:val="16"/>
                <w:szCs w:val="16"/>
              </w:rPr>
            </w:pPr>
          </w:p>
        </w:tc>
      </w:tr>
      <w:tr w:rsidR="000724C8" w:rsidRPr="00BD02B4" w14:paraId="41D060E2" w14:textId="77777777" w:rsidTr="00F53847">
        <w:trPr>
          <w:trHeight w:val="943"/>
        </w:trPr>
        <w:tc>
          <w:tcPr>
            <w:tcW w:w="1127" w:type="dxa"/>
            <w:tcBorders>
              <w:top w:val="single" w:sz="4" w:space="0" w:color="auto"/>
              <w:left w:val="single" w:sz="4" w:space="0" w:color="auto"/>
              <w:bottom w:val="single" w:sz="4" w:space="0" w:color="auto"/>
              <w:right w:val="single" w:sz="4" w:space="0" w:color="auto"/>
            </w:tcBorders>
          </w:tcPr>
          <w:p w14:paraId="333F4EE6" w14:textId="77777777" w:rsidR="00D02E6B"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w:t>
            </w:r>
          </w:p>
          <w:p w14:paraId="14A7CBA0" w14:textId="2D65BE39" w:rsidR="000724C8" w:rsidRPr="00BD02B4" w:rsidRDefault="000724C8" w:rsidP="00004076">
            <w:pPr>
              <w:ind w:right="-232"/>
              <w:rPr>
                <w:rFonts w:ascii="Arial" w:hAnsi="Arial" w:cs="Arial"/>
                <w:sz w:val="18"/>
                <w:szCs w:val="18"/>
              </w:rPr>
            </w:pPr>
            <w:r w:rsidRPr="00BD02B4">
              <w:rPr>
                <w:rFonts w:ascii="Arial" w:hAnsi="Arial" w:cs="Arial"/>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043B6BDB" w14:textId="77777777" w:rsidR="000724C8" w:rsidRPr="00BD02B4" w:rsidRDefault="000724C8" w:rsidP="00AC62A8">
            <w:pPr>
              <w:pStyle w:val="Estilo"/>
              <w:rPr>
                <w:rFonts w:cstheme="minorBidi"/>
                <w:sz w:val="18"/>
                <w:szCs w:val="18"/>
              </w:rPr>
            </w:pPr>
            <w:r w:rsidRPr="00BD02B4">
              <w:rPr>
                <w:sz w:val="18"/>
                <w:szCs w:val="18"/>
              </w:rPr>
              <w:t xml:space="preserve">Los conceptos no deducibles a que se refiere esta </w:t>
            </w:r>
            <w:proofErr w:type="gramStart"/>
            <w:r w:rsidRPr="00BD02B4">
              <w:rPr>
                <w:sz w:val="18"/>
                <w:szCs w:val="18"/>
              </w:rPr>
              <w:t>Ley,</w:t>
            </w:r>
            <w:proofErr w:type="gramEnd"/>
            <w:r w:rsidRPr="00BD02B4">
              <w:rPr>
                <w:sz w:val="18"/>
                <w:szCs w:val="18"/>
              </w:rPr>
              <w:t xml:space="preserve"> se deberán considerar en el ejercicio en el que se efectúe la erogación y no en aquel ejercicio en el que formen parte del costo de lo vendido.</w:t>
            </w:r>
          </w:p>
        </w:tc>
        <w:tc>
          <w:tcPr>
            <w:tcW w:w="2993" w:type="dxa"/>
            <w:tcBorders>
              <w:top w:val="single" w:sz="4" w:space="0" w:color="auto"/>
              <w:left w:val="single" w:sz="4" w:space="0" w:color="auto"/>
              <w:bottom w:val="single" w:sz="4" w:space="0" w:color="auto"/>
              <w:right w:val="single" w:sz="4" w:space="0" w:color="auto"/>
            </w:tcBorders>
            <w:hideMark/>
          </w:tcPr>
          <w:p w14:paraId="76A562E8"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bl>
    <w:p w14:paraId="722188A7" w14:textId="77777777" w:rsidR="000724C8" w:rsidRPr="00BD02B4" w:rsidRDefault="000724C8" w:rsidP="00004076">
      <w:pPr>
        <w:pStyle w:val="corte4fondo"/>
        <w:ind w:right="-232" w:firstLine="0"/>
        <w:contextualSpacing/>
        <w:rPr>
          <w:rFonts w:cs="Arial"/>
          <w:sz w:val="28"/>
          <w:szCs w:val="28"/>
        </w:rPr>
      </w:pPr>
    </w:p>
    <w:p w14:paraId="208AE1D6" w14:textId="0441CDB3"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 xml:space="preserve">La disposición transcrita tiene un contenido amplio y complejo, si bien se ubica en el artículo 28 [que contempla los conceptos que no son deducibles para efectos del impuesto sobre la renta], esta porción reclamada contempla la viabilidad de que las personas morales que tributan en términos del Título II de la Ley del Impuesto sobre la Renta puedan deducir los intereses netos que determinen en el ejercicio. Para lograrlo el legislador estableció un procedimiento que implica la interacción de figuras novedosas como intereses netos y utilidad fiscal ajustada con algunos elementos que ya se preveían con anterioridad y que son propios de los intereses provenientes de deudas a cargo los </w:t>
      </w:r>
      <w:r w:rsidRPr="00BD02B4">
        <w:rPr>
          <w:rFonts w:cs="Arial"/>
          <w:sz w:val="28"/>
          <w:szCs w:val="28"/>
        </w:rPr>
        <w:lastRenderedPageBreak/>
        <w:t>particulares; además, esta disposición normativa se encuentra alineada con las medidas establecidas en el Reporte Final de la Acción 4 del proyecto BEPS</w:t>
      </w:r>
      <w:r w:rsidRPr="00BD02B4">
        <w:rPr>
          <w:rStyle w:val="Refdenotaalpie"/>
          <w:rFonts w:cs="Arial"/>
          <w:sz w:val="28"/>
          <w:szCs w:val="28"/>
        </w:rPr>
        <w:footnoteReference w:id="2"/>
      </w:r>
      <w:r w:rsidRPr="00BD02B4">
        <w:rPr>
          <w:rFonts w:cs="Arial"/>
          <w:sz w:val="28"/>
          <w:szCs w:val="28"/>
        </w:rPr>
        <w:t xml:space="preserve">. </w:t>
      </w:r>
    </w:p>
    <w:p w14:paraId="6B7CFDED" w14:textId="77777777" w:rsidR="0060334D" w:rsidRPr="00BD02B4" w:rsidRDefault="0060334D" w:rsidP="0060334D">
      <w:pPr>
        <w:pStyle w:val="corte4fondo"/>
        <w:ind w:right="-232" w:firstLine="0"/>
        <w:contextualSpacing/>
        <w:rPr>
          <w:rFonts w:eastAsiaTheme="minorHAnsi" w:cs="Arial"/>
          <w:sz w:val="28"/>
          <w:szCs w:val="28"/>
          <w:lang w:eastAsia="en-US"/>
        </w:rPr>
      </w:pPr>
    </w:p>
    <w:p w14:paraId="0B0698DA" w14:textId="77777777"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Para efecto de identificar el origen de la disposición reclamada, así como para entender su alcance normativo, debemos tener en cuenta lo siguiente:</w:t>
      </w:r>
    </w:p>
    <w:p w14:paraId="172288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2ED0DD3" w14:textId="4A8ED57C"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Mediante la exposición de motivos del Ejecutivo Federal</w:t>
      </w:r>
      <w:r w:rsidR="00AC62A8" w:rsidRPr="00BD02B4">
        <w:rPr>
          <w:rFonts w:cs="Arial"/>
          <w:sz w:val="28"/>
          <w:szCs w:val="28"/>
        </w:rPr>
        <w:t>,</w:t>
      </w:r>
      <w:r w:rsidRPr="00BD02B4">
        <w:rPr>
          <w:rStyle w:val="Refdenotaalpie"/>
          <w:rFonts w:cs="Arial"/>
          <w:sz w:val="20"/>
        </w:rPr>
        <w:footnoteReference w:id="3"/>
      </w:r>
      <w:r w:rsidRPr="00BD02B4">
        <w:rPr>
          <w:rFonts w:cs="Arial"/>
          <w:sz w:val="28"/>
          <w:szCs w:val="28"/>
        </w:rPr>
        <w:t xml:space="preserve"> se establece que la disposición antes señalada será aplicable a intereses deducibles a </w:t>
      </w:r>
      <w:r w:rsidRPr="00BD02B4">
        <w:rPr>
          <w:rFonts w:cs="Arial"/>
          <w:sz w:val="28"/>
          <w:szCs w:val="28"/>
        </w:rPr>
        <w:lastRenderedPageBreak/>
        <w:t xml:space="preserve">partir del ejercicio fiscal de 2020, independientemente de que las deudas contraídas provengan de ejercicios anteriores. </w:t>
      </w:r>
    </w:p>
    <w:p w14:paraId="7B3823ED" w14:textId="77777777" w:rsidR="000724C8" w:rsidRPr="00BD02B4" w:rsidRDefault="000724C8" w:rsidP="00004076">
      <w:pPr>
        <w:spacing w:line="360" w:lineRule="auto"/>
        <w:ind w:right="-232" w:hanging="567"/>
        <w:contextualSpacing/>
        <w:jc w:val="both"/>
        <w:rPr>
          <w:rFonts w:ascii="Arial" w:hAnsi="Arial" w:cs="Arial"/>
          <w:sz w:val="28"/>
          <w:szCs w:val="28"/>
        </w:rPr>
      </w:pPr>
    </w:p>
    <w:p w14:paraId="33C737D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se establece que la nueva fracción XXXII al artículo 28 de la Ley en cita solo será aplicable cuando el monto de los intereses no deducibles determinados de conformidad con dicha fracción sea superior al determinado conforme a la fracción XXVII ya existente, en cuyo caso, esta última no será aplicable. </w:t>
      </w:r>
    </w:p>
    <w:p w14:paraId="7CB690AA"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2D8CE3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Además, se señala que la presente regla tampoco será aplicable cuando el monto de los intereses acumulados sea igual o superiores al monto de los intereses devengados. </w:t>
      </w:r>
    </w:p>
    <w:p w14:paraId="526C8CAB"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95D50CB" w14:textId="3067A70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La fracción impugnada solo será aplicable a los contribuyentes cuyos intereses devengados durante el ejercicio que deriven de sus deudas excedan de $20’000,000.00</w:t>
      </w:r>
      <w:r w:rsidR="00A67967" w:rsidRPr="00BD02B4">
        <w:rPr>
          <w:rFonts w:cs="Arial"/>
          <w:sz w:val="28"/>
          <w:szCs w:val="28"/>
        </w:rPr>
        <w:t xml:space="preserve"> </w:t>
      </w:r>
      <w:r w:rsidR="0094528F" w:rsidRPr="00BD02B4">
        <w:rPr>
          <w:rFonts w:cs="Arial"/>
          <w:bCs/>
          <w:iCs/>
          <w:sz w:val="28"/>
          <w:szCs w:val="28"/>
        </w:rPr>
        <w:t>(veinte millones de pesos 00/100 moneda nacional)</w:t>
      </w:r>
      <w:r w:rsidRPr="00BD02B4">
        <w:rPr>
          <w:rFonts w:cs="Arial"/>
          <w:sz w:val="28"/>
          <w:szCs w:val="28"/>
        </w:rPr>
        <w:t xml:space="preserve">. Dicha cantidad se aplicará conjuntamente a todas las personas morales sujetas al Título II de la Ley y establecimientos permanentes de residentes en el extranjero que pertenezcan a un mismo grupo o que sean partes relacionadas. Dicha cantidad se repartirá en la proporción de los </w:t>
      </w:r>
      <w:r w:rsidRPr="00BD02B4">
        <w:rPr>
          <w:rFonts w:cs="Arial"/>
          <w:sz w:val="28"/>
          <w:szCs w:val="28"/>
        </w:rPr>
        <w:lastRenderedPageBreak/>
        <w:t xml:space="preserve">ingresos acumulables generados durante el ejercicio anterior por los contribuyentes a los que les resulte aplicable esta disposición. </w:t>
      </w:r>
    </w:p>
    <w:p w14:paraId="7BF14F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739596D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 establecido en dicha fracción no será aplicable a los intereses que deriven, de deudas contratadas para financiar obras de infraestructura pública, así como a las deudas contratadas para financiar construcciones de bienes inmuebles ubicados en territorio nacional incluyendo para la adquisición de terrenos donde se vayan a realizar las mismas. </w:t>
      </w:r>
    </w:p>
    <w:p w14:paraId="4CC977EC" w14:textId="77777777" w:rsidR="000724C8" w:rsidRPr="00BD02B4" w:rsidRDefault="000724C8" w:rsidP="00DE531D">
      <w:pPr>
        <w:spacing w:line="360" w:lineRule="auto"/>
        <w:ind w:right="-232" w:hanging="567"/>
        <w:contextualSpacing/>
        <w:jc w:val="both"/>
        <w:rPr>
          <w:rFonts w:ascii="Arial" w:hAnsi="Arial" w:cs="Arial"/>
          <w:sz w:val="28"/>
          <w:szCs w:val="28"/>
        </w:rPr>
      </w:pPr>
    </w:p>
    <w:p w14:paraId="680A7844"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esto no será aplicable a los intereses que deriven de deudas contratadas para financiar proyectos para la exploración, extracción, transporte, almacenamiento o distribución de petróleo y de los hidrocarburos sólidos, líquidos o gaseosos, así como para financiar otros proyectos de la industria extractiva y para la generación, transmisión o almacenamiento de electricidad o agua. </w:t>
      </w:r>
    </w:p>
    <w:p w14:paraId="74B4B93E" w14:textId="77777777" w:rsidR="000724C8" w:rsidRPr="00BD02B4" w:rsidRDefault="000724C8" w:rsidP="00DE531D">
      <w:pPr>
        <w:pStyle w:val="Prrafodelista"/>
        <w:spacing w:line="360" w:lineRule="auto"/>
        <w:ind w:left="0" w:right="-232" w:hanging="567"/>
        <w:contextualSpacing/>
        <w:jc w:val="both"/>
        <w:rPr>
          <w:rFonts w:ascii="Arial" w:hAnsi="Arial" w:cs="Arial"/>
          <w:sz w:val="28"/>
          <w:szCs w:val="28"/>
        </w:rPr>
      </w:pPr>
    </w:p>
    <w:p w14:paraId="543378F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También se establece la posibilidad de determinar la limitante a la deducción de intereses de forma consolidada para el caso de sociedades pertenecientes a un mismo grupo. Para estos efectos, la determinación se llevará a cabo con base en las reglas de carácter general que al efecto se emitan por la autoridad fiscal. El legislador incluye el concepto de intereses netos del ejercicio como la “cantidad que resulte de restar al total de los intereses devengados durante el ejercicio que deriven de deudas del contribuyente, el total de sus ingresos por intereses acumulados durante el mismo periodo y la cantidad mencionada en el párrafo anterior”. </w:t>
      </w:r>
    </w:p>
    <w:p w14:paraId="55B51FF5"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097CDA0"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Los intereses no deducibles se determinarán restando a los intereses netos del ejercicio el límite ya mencionado del 30% de la utilidad fiscal ajustada del contribuyente. Si el resultado de dicho cálculo es cero o negativo, se permitirá la deducción de la totalidad de los intereses devengados a cargo del contribuyente. La utilidad fiscal ajustada será la cantidad que resulte de sumar a la utilidad fiscal determinada conforme a </w:t>
      </w:r>
      <w:r w:rsidRPr="00BD02B4">
        <w:rPr>
          <w:rFonts w:cs="Arial"/>
          <w:sz w:val="28"/>
          <w:szCs w:val="28"/>
        </w:rPr>
        <w:lastRenderedPageBreak/>
        <w:t xml:space="preserve">la fracción I del artículo 9 de la Ley del Impuesto sobre la Renta (ingresos acumulables menos deducciones autorizadas y la participación de los trabadores en las utilidades o PTU de las empresas pagada en el ejercicio), el total de los intereses devengados durante el ejercicio que deriven de deudas del contribuyente, así como el monto total deducido en el ejercicio por concepto de activos fijos, gastos diferidos, cargos diferidos y erogaciones realizadas en periodos preoperativos. </w:t>
      </w:r>
    </w:p>
    <w:p w14:paraId="7AB841DF"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9C4048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Se señala que se deberá determinar la utilidad fiscal ajustada incluso en los casos en que el contribuyente no genere una utilidad fiscal o bien cuando se genere una pérdida fiscal. En el caso de que se genere una pérdida fiscal, se restará su monto de los conceptos antes mencionados. Cuando la utilidad fiscal ajustada resulte cero o un número negativo, la totalidad de los intereses a cargo se considerará como no deducible, con la excepción de aquellos intereses no sujetos a esta limitación. Los intereses devengados durante el ejercicio que deriven de deudas del contribuyente solo incluyen los montos deducibles de conformidad con la </w:t>
      </w:r>
      <w:r w:rsidRPr="00BD02B4">
        <w:rPr>
          <w:sz w:val="28"/>
          <w:szCs w:val="28"/>
        </w:rPr>
        <w:t>Ley</w:t>
      </w:r>
      <w:r w:rsidRPr="00BD02B4">
        <w:rPr>
          <w:rFonts w:cs="Arial"/>
          <w:sz w:val="28"/>
          <w:szCs w:val="28"/>
        </w:rPr>
        <w:t>, así como el total de ingresos por intereses solo incluye los montos que se encuentran gravados durante el mismo ejercicio en términos de la Ley del Impuesto sobre la Renta.</w:t>
      </w:r>
    </w:p>
    <w:p w14:paraId="3FEF1E24" w14:textId="77777777" w:rsidR="000724C8" w:rsidRPr="00BD02B4" w:rsidRDefault="000724C8" w:rsidP="00DE531D">
      <w:pPr>
        <w:spacing w:line="360" w:lineRule="auto"/>
        <w:ind w:right="-232" w:hanging="567"/>
        <w:contextualSpacing/>
        <w:jc w:val="both"/>
        <w:rPr>
          <w:rFonts w:ascii="Arial" w:hAnsi="Arial" w:cs="Arial"/>
          <w:sz w:val="28"/>
          <w:szCs w:val="28"/>
        </w:rPr>
      </w:pPr>
    </w:p>
    <w:p w14:paraId="37CB0DB4" w14:textId="546477EC" w:rsidR="000724C8" w:rsidRPr="00BD02B4" w:rsidRDefault="000724C8" w:rsidP="00DE531D">
      <w:pPr>
        <w:pStyle w:val="corte4fondo"/>
        <w:numPr>
          <w:ilvl w:val="0"/>
          <w:numId w:val="5"/>
        </w:numPr>
        <w:ind w:left="0" w:right="-232" w:hanging="567"/>
        <w:contextualSpacing/>
        <w:rPr>
          <w:i/>
          <w:iCs/>
          <w:sz w:val="28"/>
          <w:szCs w:val="28"/>
        </w:rPr>
      </w:pPr>
      <w:r w:rsidRPr="00BD02B4">
        <w:rPr>
          <w:sz w:val="28"/>
          <w:szCs w:val="28"/>
        </w:rPr>
        <w:t>Pues bien, los diferentes supuestos contenidos en la norma impugnada comparten como común denominador la inten</w:t>
      </w:r>
      <w:r w:rsidR="00102FDD" w:rsidRPr="00BD02B4">
        <w:rPr>
          <w:sz w:val="28"/>
          <w:szCs w:val="28"/>
        </w:rPr>
        <w:t>c</w:t>
      </w:r>
      <w:r w:rsidRPr="00BD02B4">
        <w:rPr>
          <w:sz w:val="28"/>
          <w:szCs w:val="28"/>
        </w:rPr>
        <w:t>ión de regular las condiciones de deducibilidad de los intereses netos.</w:t>
      </w:r>
    </w:p>
    <w:p w14:paraId="7D6D3E8A" w14:textId="77777777" w:rsidR="00F439A9" w:rsidRPr="00BD02B4" w:rsidRDefault="00F439A9" w:rsidP="00DE531D">
      <w:pPr>
        <w:pStyle w:val="Prrafodelista"/>
        <w:ind w:right="-232" w:hanging="567"/>
        <w:rPr>
          <w:i/>
          <w:iCs/>
          <w:sz w:val="28"/>
          <w:szCs w:val="28"/>
        </w:rPr>
      </w:pPr>
    </w:p>
    <w:p w14:paraId="4B83BEC7" w14:textId="77777777"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t>Ahora bien, de la demanda inicial se advierte que, si bien identifica como impugnada la fracción XXXII del artículo 28 de la Ley del Impuesto sobre la Renta, los argumentos de inconstitucionalidad los formula -esencialmente- en contra de lo dispuesto en los párrafos primero y segundo.</w:t>
      </w:r>
    </w:p>
    <w:p w14:paraId="183ABF19" w14:textId="77777777" w:rsidR="000724C8" w:rsidRPr="00BD02B4" w:rsidRDefault="000724C8" w:rsidP="00DE531D">
      <w:pPr>
        <w:pStyle w:val="Prrafodelista"/>
        <w:spacing w:line="360" w:lineRule="auto"/>
        <w:ind w:left="0" w:right="-232" w:hanging="567"/>
        <w:jc w:val="both"/>
        <w:rPr>
          <w:rFonts w:ascii="Arial" w:hAnsi="Arial"/>
          <w:sz w:val="28"/>
          <w:szCs w:val="28"/>
        </w:rPr>
      </w:pPr>
    </w:p>
    <w:p w14:paraId="20C1DDA7" w14:textId="0D80E512"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lastRenderedPageBreak/>
        <w:t>Así, una vez precisado lo prescrito por la norma impugnada, se procede a analizar la validez constitucional a la luz de los argumentos formulados por la parte quejosa.</w:t>
      </w:r>
    </w:p>
    <w:p w14:paraId="24E098AA" w14:textId="2EA2CB34" w:rsidR="001A1991" w:rsidRPr="00BD02B4" w:rsidRDefault="001A1991" w:rsidP="00004076">
      <w:pPr>
        <w:pStyle w:val="Prrafodelista"/>
        <w:spacing w:line="360" w:lineRule="auto"/>
        <w:ind w:right="-232"/>
        <w:contextualSpacing/>
        <w:rPr>
          <w:rFonts w:ascii="Arial" w:hAnsi="Arial"/>
          <w:sz w:val="28"/>
          <w:szCs w:val="28"/>
        </w:rPr>
      </w:pPr>
    </w:p>
    <w:p w14:paraId="4F157958" w14:textId="5E1F5D51"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ESTUDIO DE FONDO</w:t>
      </w:r>
    </w:p>
    <w:p w14:paraId="744BCA02" w14:textId="77777777" w:rsidR="001A1991" w:rsidRPr="00BD02B4" w:rsidRDefault="001A1991" w:rsidP="00004076">
      <w:pPr>
        <w:pStyle w:val="corte4fondo"/>
        <w:ind w:right="-232" w:firstLine="0"/>
        <w:contextualSpacing/>
        <w:rPr>
          <w:rFonts w:cs="Arial"/>
          <w:b/>
          <w:sz w:val="28"/>
          <w:szCs w:val="28"/>
          <w:lang w:val="es-MX"/>
        </w:rPr>
      </w:pPr>
    </w:p>
    <w:p w14:paraId="75B1B568" w14:textId="35266C41" w:rsidR="007800A3" w:rsidRPr="00BD02B4" w:rsidRDefault="00F1213E" w:rsidP="00CF248E">
      <w:pPr>
        <w:pStyle w:val="corte4fondo"/>
        <w:numPr>
          <w:ilvl w:val="0"/>
          <w:numId w:val="5"/>
        </w:numPr>
        <w:ind w:left="0" w:right="-232" w:hanging="567"/>
        <w:contextualSpacing/>
        <w:rPr>
          <w:bCs/>
          <w:sz w:val="28"/>
          <w:szCs w:val="28"/>
          <w:lang w:val="es-ES"/>
        </w:rPr>
      </w:pPr>
      <w:r w:rsidRPr="00BD02B4">
        <w:rPr>
          <w:bCs/>
          <w:sz w:val="28"/>
          <w:szCs w:val="28"/>
          <w:lang w:val="es-ES"/>
        </w:rPr>
        <w:t>Previo al estudio de fondo, es conveniente señalar que, con independencia de que esta Pri</w:t>
      </w:r>
      <w:r w:rsidR="00614345" w:rsidRPr="00BD02B4">
        <w:rPr>
          <w:bCs/>
          <w:sz w:val="28"/>
          <w:szCs w:val="28"/>
          <w:lang w:val="es-ES"/>
        </w:rPr>
        <w:t xml:space="preserve">mera Sala </w:t>
      </w:r>
      <w:r w:rsidR="00B97914" w:rsidRPr="00BD02B4">
        <w:rPr>
          <w:bCs/>
          <w:sz w:val="28"/>
          <w:szCs w:val="28"/>
          <w:lang w:val="es-ES"/>
        </w:rPr>
        <w:t xml:space="preserve">no </w:t>
      </w:r>
      <w:r w:rsidR="00533C51" w:rsidRPr="00BD02B4">
        <w:rPr>
          <w:bCs/>
          <w:sz w:val="28"/>
          <w:szCs w:val="28"/>
          <w:lang w:val="es-ES"/>
        </w:rPr>
        <w:t>compart</w:t>
      </w:r>
      <w:r w:rsidR="008F72EA" w:rsidRPr="00BD02B4">
        <w:rPr>
          <w:bCs/>
          <w:sz w:val="28"/>
          <w:szCs w:val="28"/>
          <w:lang w:val="es-ES"/>
        </w:rPr>
        <w:t>a</w:t>
      </w:r>
      <w:r w:rsidR="00533C51" w:rsidRPr="00BD02B4">
        <w:rPr>
          <w:bCs/>
          <w:sz w:val="28"/>
          <w:szCs w:val="28"/>
          <w:lang w:val="es-ES"/>
        </w:rPr>
        <w:t xml:space="preserve"> </w:t>
      </w:r>
      <w:r w:rsidR="00B97914" w:rsidRPr="00BD02B4">
        <w:rPr>
          <w:bCs/>
          <w:sz w:val="28"/>
          <w:szCs w:val="28"/>
          <w:lang w:val="es-ES"/>
        </w:rPr>
        <w:t>la conclusión del Tribunal Colegiado</w:t>
      </w:r>
      <w:r w:rsidR="0050366F" w:rsidRPr="00BD02B4">
        <w:rPr>
          <w:bCs/>
          <w:sz w:val="28"/>
          <w:szCs w:val="28"/>
          <w:lang w:val="es-ES"/>
        </w:rPr>
        <w:t xml:space="preserve"> respecto </w:t>
      </w:r>
      <w:r w:rsidR="005A7C2A" w:rsidRPr="00BD02B4">
        <w:rPr>
          <w:bCs/>
          <w:sz w:val="28"/>
          <w:szCs w:val="28"/>
          <w:lang w:val="es-ES"/>
        </w:rPr>
        <w:t>a</w:t>
      </w:r>
      <w:r w:rsidR="0050366F" w:rsidRPr="00BD02B4">
        <w:rPr>
          <w:bCs/>
          <w:sz w:val="28"/>
          <w:szCs w:val="28"/>
          <w:lang w:val="es-ES"/>
        </w:rPr>
        <w:t xml:space="preserve"> la naturaleza autoaplicativa</w:t>
      </w:r>
      <w:r w:rsidR="0044782A" w:rsidRPr="00BD02B4">
        <w:rPr>
          <w:bCs/>
          <w:sz w:val="28"/>
          <w:szCs w:val="28"/>
          <w:lang w:val="es-ES"/>
        </w:rPr>
        <w:t xml:space="preserve"> del art</w:t>
      </w:r>
      <w:r w:rsidR="003539A2" w:rsidRPr="00BD02B4">
        <w:rPr>
          <w:bCs/>
          <w:sz w:val="28"/>
          <w:szCs w:val="28"/>
          <w:lang w:val="es-ES"/>
        </w:rPr>
        <w:t>ículo 28, fracción XX</w:t>
      </w:r>
      <w:r w:rsidR="0060334D" w:rsidRPr="00BD02B4">
        <w:rPr>
          <w:bCs/>
          <w:sz w:val="28"/>
          <w:szCs w:val="28"/>
          <w:lang w:val="es-ES"/>
        </w:rPr>
        <w:t>X</w:t>
      </w:r>
      <w:r w:rsidR="003539A2" w:rsidRPr="00BD02B4">
        <w:rPr>
          <w:bCs/>
          <w:sz w:val="28"/>
          <w:szCs w:val="28"/>
          <w:lang w:val="es-ES"/>
        </w:rPr>
        <w:t>II de la Ley del Impuesto Sobre la Renta</w:t>
      </w:r>
      <w:r w:rsidR="009D2819" w:rsidRPr="00BD02B4">
        <w:rPr>
          <w:bCs/>
          <w:sz w:val="28"/>
          <w:szCs w:val="28"/>
          <w:lang w:val="es-ES"/>
        </w:rPr>
        <w:t>,</w:t>
      </w:r>
      <w:r w:rsidR="003539A2" w:rsidRPr="00BD02B4">
        <w:rPr>
          <w:bCs/>
          <w:sz w:val="28"/>
          <w:szCs w:val="28"/>
          <w:lang w:val="es-ES"/>
        </w:rPr>
        <w:t xml:space="preserve"> que entró en vigor el día uno de enero de dos mil veinte</w:t>
      </w:r>
      <w:r w:rsidR="00C64FCD" w:rsidRPr="00BD02B4">
        <w:rPr>
          <w:bCs/>
          <w:sz w:val="28"/>
          <w:szCs w:val="28"/>
          <w:lang w:val="es-ES"/>
        </w:rPr>
        <w:t>;</w:t>
      </w:r>
      <w:r w:rsidR="003539A2" w:rsidRPr="00BD02B4">
        <w:rPr>
          <w:bCs/>
          <w:sz w:val="28"/>
          <w:szCs w:val="28"/>
          <w:lang w:val="es-ES"/>
        </w:rPr>
        <w:t xml:space="preserve"> </w:t>
      </w:r>
      <w:r w:rsidR="005E1394" w:rsidRPr="00BD02B4">
        <w:rPr>
          <w:bCs/>
          <w:sz w:val="28"/>
          <w:szCs w:val="28"/>
          <w:lang w:val="es-ES"/>
        </w:rPr>
        <w:t xml:space="preserve">dicha determinación </w:t>
      </w:r>
      <w:r w:rsidR="005F370E" w:rsidRPr="00BD02B4">
        <w:rPr>
          <w:bCs/>
          <w:sz w:val="28"/>
          <w:szCs w:val="28"/>
          <w:lang w:val="es-ES"/>
        </w:rPr>
        <w:t xml:space="preserve">judicial </w:t>
      </w:r>
      <w:r w:rsidR="00A6025B" w:rsidRPr="00BD02B4">
        <w:rPr>
          <w:bCs/>
          <w:sz w:val="28"/>
          <w:szCs w:val="28"/>
          <w:lang w:val="es-ES"/>
        </w:rPr>
        <w:t xml:space="preserve">constituye una cuestión de legalidad que ha quedado firme </w:t>
      </w:r>
      <w:r w:rsidR="00AF7D97" w:rsidRPr="00BD02B4">
        <w:rPr>
          <w:bCs/>
          <w:sz w:val="28"/>
          <w:szCs w:val="28"/>
          <w:lang w:val="es-ES"/>
        </w:rPr>
        <w:t xml:space="preserve">al ser </w:t>
      </w:r>
      <w:r w:rsidR="00075B76" w:rsidRPr="00BD02B4">
        <w:rPr>
          <w:bCs/>
          <w:sz w:val="28"/>
          <w:szCs w:val="28"/>
          <w:lang w:val="es-ES"/>
        </w:rPr>
        <w:t xml:space="preserve">un pronunciamiento que corresponde a </w:t>
      </w:r>
      <w:r w:rsidR="005A7C2A" w:rsidRPr="00BD02B4">
        <w:rPr>
          <w:bCs/>
          <w:sz w:val="28"/>
          <w:szCs w:val="28"/>
          <w:lang w:val="es-ES"/>
        </w:rPr>
        <w:t>ese</w:t>
      </w:r>
      <w:r w:rsidR="00075B76" w:rsidRPr="00BD02B4">
        <w:rPr>
          <w:bCs/>
          <w:sz w:val="28"/>
          <w:szCs w:val="28"/>
          <w:lang w:val="es-ES"/>
        </w:rPr>
        <w:t xml:space="preserve"> órgano</w:t>
      </w:r>
      <w:r w:rsidR="005A7C2A" w:rsidRPr="00BD02B4">
        <w:rPr>
          <w:bCs/>
          <w:sz w:val="28"/>
          <w:szCs w:val="28"/>
          <w:lang w:val="es-ES"/>
        </w:rPr>
        <w:t xml:space="preserve"> colegiado</w:t>
      </w:r>
      <w:r w:rsidR="00075B76" w:rsidRPr="00BD02B4">
        <w:rPr>
          <w:bCs/>
          <w:sz w:val="28"/>
          <w:szCs w:val="28"/>
          <w:lang w:val="es-ES"/>
        </w:rPr>
        <w:t xml:space="preserve">, conforme a la competencia delegada </w:t>
      </w:r>
      <w:r w:rsidR="00537D96" w:rsidRPr="00BD02B4">
        <w:rPr>
          <w:bCs/>
          <w:sz w:val="28"/>
          <w:szCs w:val="28"/>
          <w:lang w:val="es-ES"/>
        </w:rPr>
        <w:t xml:space="preserve">por </w:t>
      </w:r>
      <w:r w:rsidR="00075B76" w:rsidRPr="00BD02B4">
        <w:rPr>
          <w:bCs/>
          <w:sz w:val="28"/>
          <w:szCs w:val="28"/>
          <w:lang w:val="es-ES"/>
        </w:rPr>
        <w:t>el Acuerdo General Plenario 5/2013. De ahí que</w:t>
      </w:r>
      <w:r w:rsidR="00CF248E" w:rsidRPr="00BD02B4">
        <w:rPr>
          <w:bCs/>
          <w:sz w:val="28"/>
          <w:szCs w:val="28"/>
          <w:lang w:val="es-ES"/>
        </w:rPr>
        <w:t>,</w:t>
      </w:r>
      <w:r w:rsidR="00075B76" w:rsidRPr="00BD02B4">
        <w:rPr>
          <w:bCs/>
          <w:sz w:val="28"/>
          <w:szCs w:val="28"/>
          <w:lang w:val="es-ES"/>
        </w:rPr>
        <w:t xml:space="preserve"> </w:t>
      </w:r>
      <w:r w:rsidR="00CF248E" w:rsidRPr="00BD02B4">
        <w:rPr>
          <w:bCs/>
          <w:sz w:val="28"/>
          <w:szCs w:val="28"/>
          <w:lang w:val="es-ES"/>
        </w:rPr>
        <w:t>l</w:t>
      </w:r>
      <w:r w:rsidR="001A1991" w:rsidRPr="00BD02B4">
        <w:rPr>
          <w:rFonts w:cs="Arial"/>
          <w:bCs/>
          <w:sz w:val="28"/>
          <w:szCs w:val="28"/>
          <w:lang w:val="es-MX"/>
        </w:rPr>
        <w:t xml:space="preserve">o conducente </w:t>
      </w:r>
      <w:r w:rsidR="00075B76" w:rsidRPr="00BD02B4">
        <w:rPr>
          <w:rFonts w:cs="Arial"/>
          <w:bCs/>
          <w:sz w:val="28"/>
          <w:szCs w:val="28"/>
          <w:lang w:val="es-MX"/>
        </w:rPr>
        <w:t>en el presente recurso es</w:t>
      </w:r>
      <w:r w:rsidR="001A1991" w:rsidRPr="00BD02B4">
        <w:rPr>
          <w:rFonts w:cs="Arial"/>
          <w:bCs/>
          <w:sz w:val="28"/>
          <w:szCs w:val="28"/>
          <w:lang w:val="es-MX"/>
        </w:rPr>
        <w:t xml:space="preserve"> analizar los conceptos de violación hechos valer por la quejosa</w:t>
      </w:r>
      <w:r w:rsidR="007E366F" w:rsidRPr="00BD02B4">
        <w:rPr>
          <w:rFonts w:cs="Arial"/>
          <w:bCs/>
          <w:sz w:val="28"/>
          <w:szCs w:val="28"/>
          <w:lang w:val="es-MX"/>
        </w:rPr>
        <w:t>.</w:t>
      </w:r>
    </w:p>
    <w:p w14:paraId="1EAB5CF0" w14:textId="77777777" w:rsidR="007E366F" w:rsidRPr="00BD02B4" w:rsidRDefault="007E366F" w:rsidP="007E366F">
      <w:pPr>
        <w:pStyle w:val="corte4fondo"/>
        <w:ind w:right="-232" w:firstLine="0"/>
        <w:contextualSpacing/>
        <w:rPr>
          <w:rFonts w:cs="Arial"/>
          <w:b/>
          <w:bCs/>
          <w:i/>
          <w:sz w:val="28"/>
          <w:szCs w:val="28"/>
          <w:lang w:val="es-MX"/>
        </w:rPr>
      </w:pPr>
    </w:p>
    <w:p w14:paraId="05F4AC77" w14:textId="1EBCB566" w:rsidR="001A1991" w:rsidRPr="00BD02B4" w:rsidRDefault="00CC7B36" w:rsidP="00004076">
      <w:pPr>
        <w:pStyle w:val="corte4fondo"/>
        <w:numPr>
          <w:ilvl w:val="0"/>
          <w:numId w:val="5"/>
        </w:numPr>
        <w:ind w:left="0" w:right="-232" w:hanging="567"/>
        <w:contextualSpacing/>
        <w:rPr>
          <w:rFonts w:cs="Arial"/>
          <w:b/>
          <w:bCs/>
          <w:i/>
          <w:sz w:val="28"/>
          <w:szCs w:val="28"/>
          <w:lang w:val="es-MX"/>
        </w:rPr>
      </w:pPr>
      <w:r w:rsidRPr="00BD02B4">
        <w:rPr>
          <w:rFonts w:eastAsiaTheme="minorHAnsi" w:cs="Arial"/>
          <w:sz w:val="28"/>
          <w:szCs w:val="28"/>
          <w:lang w:eastAsia="en-US"/>
        </w:rPr>
        <w:t>Por</w:t>
      </w:r>
      <w:r w:rsidR="004514BE" w:rsidRPr="00BD02B4">
        <w:rPr>
          <w:rFonts w:cs="Arial"/>
          <w:bCs/>
          <w:sz w:val="28"/>
          <w:szCs w:val="28"/>
          <w:lang w:val="es-MX"/>
        </w:rPr>
        <w:t xml:space="preserve"> cuestión de método, </w:t>
      </w:r>
      <w:r w:rsidR="00E37C9E" w:rsidRPr="00BD02B4">
        <w:rPr>
          <w:rFonts w:cs="Arial"/>
          <w:bCs/>
          <w:sz w:val="28"/>
          <w:szCs w:val="28"/>
          <w:lang w:val="es-MX"/>
        </w:rPr>
        <w:t xml:space="preserve">el estudio de </w:t>
      </w:r>
      <w:r w:rsidR="003358BB" w:rsidRPr="00BD02B4">
        <w:rPr>
          <w:rFonts w:cs="Arial"/>
          <w:bCs/>
          <w:sz w:val="28"/>
          <w:szCs w:val="28"/>
          <w:lang w:val="es-MX"/>
        </w:rPr>
        <w:t xml:space="preserve">dichos </w:t>
      </w:r>
      <w:r w:rsidR="00E37C9E" w:rsidRPr="00BD02B4">
        <w:rPr>
          <w:rFonts w:cs="Arial"/>
          <w:bCs/>
          <w:sz w:val="28"/>
          <w:szCs w:val="28"/>
          <w:lang w:val="es-MX"/>
        </w:rPr>
        <w:t xml:space="preserve">conceptos de violación </w:t>
      </w:r>
      <w:r w:rsidR="004514BE" w:rsidRPr="00BD02B4">
        <w:rPr>
          <w:rFonts w:cs="Arial"/>
          <w:bCs/>
          <w:sz w:val="28"/>
          <w:szCs w:val="28"/>
          <w:lang w:val="es-MX"/>
        </w:rPr>
        <w:t xml:space="preserve">se </w:t>
      </w:r>
      <w:r w:rsidR="007050FB" w:rsidRPr="00BD02B4">
        <w:rPr>
          <w:rFonts w:cs="Arial"/>
          <w:bCs/>
          <w:sz w:val="28"/>
          <w:szCs w:val="28"/>
          <w:lang w:val="es-MX"/>
        </w:rPr>
        <w:t>realizará</w:t>
      </w:r>
      <w:r w:rsidR="004514BE" w:rsidRPr="00BD02B4">
        <w:rPr>
          <w:rFonts w:cs="Arial"/>
          <w:bCs/>
          <w:sz w:val="28"/>
          <w:szCs w:val="28"/>
          <w:lang w:val="es-MX"/>
        </w:rPr>
        <w:t xml:space="preserve"> en un orden diverso al propuesto por la recurrente, </w:t>
      </w:r>
      <w:r w:rsidR="001A1991" w:rsidRPr="00BD02B4">
        <w:rPr>
          <w:rFonts w:cs="Arial"/>
          <w:bCs/>
          <w:sz w:val="28"/>
          <w:szCs w:val="28"/>
          <w:lang w:val="es-MX"/>
        </w:rPr>
        <w:t xml:space="preserve">conforme </w:t>
      </w:r>
      <w:r w:rsidR="004514BE" w:rsidRPr="00BD02B4">
        <w:rPr>
          <w:rFonts w:cs="Arial"/>
          <w:bCs/>
          <w:sz w:val="28"/>
          <w:szCs w:val="28"/>
          <w:lang w:val="es-MX"/>
        </w:rPr>
        <w:t>a lo siguiente</w:t>
      </w:r>
      <w:r w:rsidR="001A1991" w:rsidRPr="00BD02B4">
        <w:rPr>
          <w:rFonts w:cs="Arial"/>
          <w:bCs/>
          <w:sz w:val="28"/>
          <w:szCs w:val="28"/>
          <w:lang w:val="es-MX"/>
        </w:rPr>
        <w:t xml:space="preserve">: </w:t>
      </w:r>
    </w:p>
    <w:p w14:paraId="036B0006" w14:textId="77777777" w:rsidR="001A1991" w:rsidRPr="00BD02B4" w:rsidRDefault="001A1991" w:rsidP="00004076">
      <w:pPr>
        <w:pStyle w:val="corte4fondo"/>
        <w:ind w:right="-232" w:firstLine="0"/>
        <w:contextualSpacing/>
        <w:rPr>
          <w:rFonts w:cs="Arial"/>
          <w:sz w:val="28"/>
          <w:szCs w:val="28"/>
        </w:rPr>
      </w:pPr>
    </w:p>
    <w:p w14:paraId="33DAC6D5" w14:textId="77777777" w:rsidR="000724C8" w:rsidRPr="00BD02B4" w:rsidRDefault="000724C8" w:rsidP="00004076">
      <w:pPr>
        <w:pStyle w:val="corte4fondo"/>
        <w:ind w:right="-232" w:firstLine="0"/>
        <w:rPr>
          <w:rFonts w:cs="Arial"/>
          <w:b/>
          <w:sz w:val="28"/>
          <w:szCs w:val="28"/>
          <w:u w:val="single"/>
          <w:lang w:val="es-MX"/>
        </w:rPr>
      </w:pPr>
      <w:r w:rsidRPr="00BD02B4">
        <w:rPr>
          <w:rFonts w:cs="Arial"/>
          <w:b/>
          <w:sz w:val="28"/>
          <w:szCs w:val="28"/>
          <w:u w:val="single"/>
          <w:lang w:val="es-MX"/>
        </w:rPr>
        <w:t>Violación a los principios de legalidad y seguridad jurídica.</w:t>
      </w:r>
    </w:p>
    <w:p w14:paraId="6B0AAD85" w14:textId="77777777" w:rsidR="000724C8" w:rsidRPr="00BD02B4" w:rsidRDefault="000724C8" w:rsidP="00004076">
      <w:pPr>
        <w:pStyle w:val="corte4fondo"/>
        <w:ind w:right="-232" w:firstLine="0"/>
        <w:rPr>
          <w:rFonts w:cs="Arial"/>
          <w:b/>
          <w:sz w:val="28"/>
          <w:szCs w:val="28"/>
          <w:lang w:val="es-MX"/>
        </w:rPr>
      </w:pPr>
    </w:p>
    <w:p w14:paraId="622DC35D" w14:textId="3BCC9BA8" w:rsidR="000724C8" w:rsidRPr="00BD02B4" w:rsidRDefault="000724C8" w:rsidP="007C0CE3">
      <w:pPr>
        <w:pStyle w:val="corte4fondo"/>
        <w:numPr>
          <w:ilvl w:val="0"/>
          <w:numId w:val="5"/>
        </w:numPr>
        <w:ind w:left="0" w:right="-232" w:hanging="567"/>
        <w:contextualSpacing/>
        <w:rPr>
          <w:rFonts w:eastAsiaTheme="minorHAnsi" w:cs="Arial"/>
          <w:color w:val="000000"/>
          <w:sz w:val="28"/>
          <w:szCs w:val="28"/>
          <w:lang w:eastAsia="en-US"/>
        </w:rPr>
      </w:pPr>
      <w:r w:rsidRPr="00BD02B4">
        <w:rPr>
          <w:rFonts w:cs="Arial"/>
          <w:sz w:val="28"/>
          <w:szCs w:val="28"/>
          <w:lang w:val="es-MX"/>
        </w:rPr>
        <w:t xml:space="preserve">En su </w:t>
      </w:r>
      <w:r w:rsidRPr="00BD02B4">
        <w:rPr>
          <w:rFonts w:cs="Arial"/>
          <w:b/>
          <w:bCs/>
          <w:sz w:val="28"/>
          <w:szCs w:val="28"/>
          <w:lang w:val="es-MX"/>
        </w:rPr>
        <w:t>cuarto concepto de violación</w:t>
      </w:r>
      <w:r w:rsidRPr="00BD02B4">
        <w:rPr>
          <w:rFonts w:cs="Arial"/>
          <w:sz w:val="28"/>
          <w:szCs w:val="28"/>
          <w:lang w:val="es-MX"/>
        </w:rPr>
        <w:t xml:space="preserve"> la quejosa plantea que la porción normativa impugnada resulta violatoria de los principios de legalidad y seguridad jurídica, pues </w:t>
      </w:r>
      <w:r w:rsidRPr="00BD02B4">
        <w:rPr>
          <w:rFonts w:eastAsiaTheme="minorHAnsi" w:cs="Arial"/>
          <w:bCs/>
          <w:sz w:val="28"/>
          <w:szCs w:val="28"/>
          <w:lang w:eastAsia="en-US"/>
        </w:rPr>
        <w:t xml:space="preserve">del </w:t>
      </w:r>
      <w:r w:rsidRPr="00BD02B4">
        <w:rPr>
          <w:rFonts w:eastAsiaTheme="minorHAnsi" w:cs="Arial"/>
          <w:sz w:val="28"/>
          <w:szCs w:val="28"/>
          <w:lang w:eastAsia="en-US"/>
        </w:rPr>
        <w:t>análisis</w:t>
      </w:r>
      <w:r w:rsidRPr="00BD02B4">
        <w:rPr>
          <w:rFonts w:eastAsiaTheme="minorHAnsi"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w:t>
      </w:r>
      <w:r w:rsidRPr="00BD02B4">
        <w:rPr>
          <w:rFonts w:eastAsiaTheme="minorHAnsi" w:cs="Arial"/>
          <w:color w:val="000000"/>
          <w:sz w:val="28"/>
          <w:szCs w:val="28"/>
          <w:lang w:eastAsia="en-US"/>
        </w:rPr>
        <w:lastRenderedPageBreak/>
        <w:t xml:space="preserve">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w:t>
      </w:r>
      <w:r w:rsidR="00FC4DBD" w:rsidRPr="00BD02B4">
        <w:rPr>
          <w:rFonts w:eastAsiaTheme="minorHAnsi" w:cs="Arial"/>
          <w:i/>
          <w:iCs/>
          <w:color w:val="000000"/>
          <w:sz w:val="28"/>
          <w:szCs w:val="28"/>
          <w:lang w:eastAsia="en-US"/>
        </w:rPr>
        <w:t>t</w:t>
      </w:r>
      <w:r w:rsidRPr="00BD02B4">
        <w:rPr>
          <w:rFonts w:eastAsiaTheme="minorHAnsi" w:cs="Arial"/>
          <w:i/>
          <w:iCs/>
          <w:color w:val="000000"/>
          <w:sz w:val="28"/>
          <w:szCs w:val="28"/>
          <w:lang w:eastAsia="en-US"/>
        </w:rPr>
        <w:t>ions</w:t>
      </w:r>
      <w:proofErr w:type="spellEnd"/>
      <w:r w:rsidRPr="00BD02B4">
        <w:rPr>
          <w:rFonts w:eastAsiaTheme="minorHAnsi" w:cs="Arial"/>
          <w:i/>
          <w:iCs/>
          <w:color w:val="000000"/>
          <w:sz w:val="28"/>
          <w:szCs w:val="28"/>
          <w:lang w:eastAsia="en-US"/>
        </w:rPr>
        <w:t xml:space="preserve"> and Other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Profit Shifting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hyperlink r:id="rId13" w:history="1">
        <w:r w:rsidR="00EC5B9E" w:rsidRPr="00BD02B4">
          <w:rPr>
            <w:rStyle w:val="Hipervnculo"/>
            <w:rFonts w:eastAsiaTheme="minorHAnsi" w:cs="Arial"/>
            <w:i/>
            <w:iCs/>
            <w:sz w:val="28"/>
            <w:szCs w:val="28"/>
            <w:lang w:eastAsia="en-US"/>
          </w:rPr>
          <w:t>http://dx.doi.org/10.1787/9789264241176-en</w:t>
        </w:r>
      </w:hyperlink>
      <w:r w:rsidR="00EC5B9E" w:rsidRPr="00BD02B4">
        <w:rPr>
          <w:rFonts w:eastAsiaTheme="minorHAnsi" w:cs="Arial"/>
          <w:i/>
          <w:iCs/>
          <w:color w:val="000000"/>
          <w:sz w:val="28"/>
          <w:szCs w:val="28"/>
          <w:lang w:eastAsia="en-US"/>
        </w:rPr>
        <w:t>, p</w:t>
      </w:r>
      <w:r w:rsidR="00416DE9" w:rsidRPr="00BD02B4">
        <w:rPr>
          <w:rFonts w:eastAsiaTheme="minorHAnsi" w:cs="Arial"/>
          <w:color w:val="000000"/>
          <w:sz w:val="28"/>
          <w:szCs w:val="28"/>
          <w:lang w:eastAsia="en-US"/>
        </w:rPr>
        <w:t>ero señala</w:t>
      </w:r>
      <w:r w:rsidRPr="00BD02B4">
        <w:rPr>
          <w:rFonts w:eastAsiaTheme="minorHAnsi" w:cs="Arial"/>
          <w:color w:val="000000"/>
          <w:sz w:val="28"/>
          <w:szCs w:val="28"/>
          <w:lang w:eastAsia="en-US"/>
        </w:rPr>
        <w:t xml:space="preserve"> que lo publicado en dicha página no tiene el carácter de documento oficial, aunado al hecho de que se encuentra redactado en idioma extranjero, lo cual hace que </w:t>
      </w:r>
      <w:r w:rsidR="00EC5B9E" w:rsidRPr="00BD02B4">
        <w:rPr>
          <w:rFonts w:eastAsiaTheme="minorHAnsi" w:cs="Arial"/>
          <w:color w:val="000000"/>
          <w:sz w:val="28"/>
          <w:szCs w:val="28"/>
          <w:lang w:eastAsia="en-US"/>
        </w:rPr>
        <w:t xml:space="preserve">no se pueda entender ni </w:t>
      </w:r>
      <w:r w:rsidRPr="00BD02B4">
        <w:rPr>
          <w:rFonts w:eastAsiaTheme="minorHAnsi" w:cs="Arial"/>
          <w:color w:val="000000"/>
          <w:sz w:val="28"/>
          <w:szCs w:val="28"/>
          <w:lang w:eastAsia="en-US"/>
        </w:rPr>
        <w:t>constatar su contenido</w:t>
      </w:r>
      <w:r w:rsidR="00EC5B9E" w:rsidRPr="00BD02B4">
        <w:rPr>
          <w:rFonts w:eastAsiaTheme="minorHAnsi" w:cs="Arial"/>
          <w:color w:val="000000"/>
          <w:sz w:val="28"/>
          <w:szCs w:val="28"/>
          <w:lang w:eastAsia="en-US"/>
        </w:rPr>
        <w:t xml:space="preserve">, </w:t>
      </w:r>
      <w:r w:rsidRPr="00BD02B4">
        <w:rPr>
          <w:rFonts w:eastAsiaTheme="minorHAnsi" w:cs="Arial"/>
          <w:color w:val="000000"/>
          <w:sz w:val="28"/>
          <w:szCs w:val="28"/>
          <w:lang w:eastAsia="en-US"/>
        </w:rPr>
        <w:t>por lo que se encuentra en total estado de incertidumbre jurídica e indefensión.</w:t>
      </w:r>
    </w:p>
    <w:p w14:paraId="10ACABB7" w14:textId="77777777" w:rsidR="000724C8" w:rsidRPr="00BD02B4" w:rsidRDefault="000724C8" w:rsidP="00004076">
      <w:pPr>
        <w:pStyle w:val="Prrafodelista"/>
        <w:ind w:right="-232"/>
        <w:rPr>
          <w:rFonts w:eastAsiaTheme="minorHAnsi" w:cs="Arial"/>
          <w:color w:val="000000"/>
          <w:sz w:val="28"/>
          <w:szCs w:val="28"/>
          <w:lang w:eastAsia="en-US"/>
        </w:rPr>
      </w:pPr>
    </w:p>
    <w:p w14:paraId="4B4458A8" w14:textId="67FEA667" w:rsidR="000724C8" w:rsidRPr="00BD02B4" w:rsidRDefault="00EC5B9E" w:rsidP="00004076">
      <w:pPr>
        <w:pStyle w:val="corte4fondo"/>
        <w:numPr>
          <w:ilvl w:val="0"/>
          <w:numId w:val="5"/>
        </w:numPr>
        <w:ind w:left="0" w:right="-232" w:hanging="567"/>
        <w:contextualSpacing/>
        <w:rPr>
          <w:rFonts w:cs="Arial"/>
          <w:sz w:val="28"/>
          <w:szCs w:val="28"/>
          <w:lang w:val="es-MX"/>
        </w:rPr>
      </w:pPr>
      <w:r w:rsidRPr="00BD02B4">
        <w:rPr>
          <w:rFonts w:eastAsiaTheme="minorHAnsi" w:cs="Arial"/>
          <w:color w:val="000000"/>
          <w:sz w:val="28"/>
          <w:szCs w:val="28"/>
          <w:lang w:eastAsia="en-US"/>
        </w:rPr>
        <w:t xml:space="preserve">Este argumento resulta </w:t>
      </w:r>
      <w:r w:rsidR="000724C8" w:rsidRPr="00BD02B4">
        <w:rPr>
          <w:rFonts w:eastAsiaTheme="minorHAnsi" w:cs="Arial"/>
          <w:b/>
          <w:bCs/>
          <w:color w:val="000000"/>
          <w:sz w:val="28"/>
          <w:szCs w:val="28"/>
          <w:lang w:eastAsia="en-US"/>
        </w:rPr>
        <w:t>inoperante</w:t>
      </w:r>
      <w:r w:rsidR="000724C8" w:rsidRPr="00BD02B4">
        <w:rPr>
          <w:rFonts w:eastAsiaTheme="minorHAnsi" w:cs="Arial"/>
          <w:color w:val="000000"/>
          <w:sz w:val="28"/>
          <w:szCs w:val="28"/>
          <w:lang w:eastAsia="en-US"/>
        </w:rPr>
        <w:t xml:space="preserve">, pues la quejosa </w:t>
      </w:r>
      <w:r w:rsidR="000724C8" w:rsidRPr="00BD02B4">
        <w:rPr>
          <w:rFonts w:cs="Arial"/>
          <w:sz w:val="28"/>
          <w:szCs w:val="28"/>
          <w:lang w:val="es-MX"/>
        </w:rPr>
        <w:t xml:space="preserve">hace derivar la inconstitucionalidad del </w:t>
      </w:r>
      <w:r w:rsidR="000724C8" w:rsidRPr="00BD02B4">
        <w:rPr>
          <w:rFonts w:cs="Arial"/>
          <w:sz w:val="28"/>
          <w:szCs w:val="28"/>
        </w:rPr>
        <w:t>artículo</w:t>
      </w:r>
      <w:r w:rsidR="000724C8" w:rsidRPr="00BD02B4">
        <w:rPr>
          <w:rFonts w:eastAsiaTheme="minorHAnsi" w:cs="Arial"/>
          <w:sz w:val="28"/>
          <w:szCs w:val="28"/>
          <w:lang w:eastAsia="en-US"/>
        </w:rPr>
        <w:t xml:space="preserve"> 28, fracción XXXII de la Ley del Impuesto Sobre la Renta, de una referencia que se </w:t>
      </w:r>
      <w:r w:rsidR="000724C8" w:rsidRPr="00BD02B4">
        <w:rPr>
          <w:rFonts w:eastAsiaTheme="minorHAnsi" w:cs="Arial"/>
          <w:color w:val="000000"/>
          <w:sz w:val="28"/>
          <w:szCs w:val="28"/>
          <w:lang w:eastAsia="en-US"/>
        </w:rPr>
        <w:t>realiza</w:t>
      </w:r>
      <w:r w:rsidR="000724C8" w:rsidRPr="00BD02B4">
        <w:rPr>
          <w:rFonts w:eastAsiaTheme="minorHAnsi" w:cs="Arial"/>
          <w:sz w:val="28"/>
          <w:szCs w:val="28"/>
          <w:lang w:eastAsia="en-US"/>
        </w:rPr>
        <w:t xml:space="preserve"> de una página de internet </w:t>
      </w:r>
      <w:r w:rsidR="000724C8" w:rsidRPr="00BD02B4">
        <w:rPr>
          <w:rFonts w:eastAsiaTheme="minorHAnsi" w:cs="Arial"/>
          <w:b/>
          <w:bCs/>
          <w:sz w:val="28"/>
          <w:szCs w:val="28"/>
          <w:lang w:eastAsia="en-US"/>
        </w:rPr>
        <w:t>en la exposición de motivos</w:t>
      </w:r>
      <w:r w:rsidR="000724C8" w:rsidRPr="00BD02B4">
        <w:rPr>
          <w:rFonts w:eastAsiaTheme="minorHAnsi" w:cs="Arial"/>
          <w:sz w:val="28"/>
          <w:szCs w:val="28"/>
          <w:lang w:eastAsia="en-US"/>
        </w:rPr>
        <w:t xml:space="preserve"> y no de lo establecido en el propio artículo impugnado.</w:t>
      </w:r>
    </w:p>
    <w:p w14:paraId="180A0252" w14:textId="77777777" w:rsidR="000724C8" w:rsidRPr="00BD02B4" w:rsidRDefault="000724C8" w:rsidP="00004076">
      <w:pPr>
        <w:pStyle w:val="Prrafodelista"/>
        <w:ind w:right="-232"/>
        <w:rPr>
          <w:rFonts w:cs="Arial"/>
          <w:sz w:val="28"/>
          <w:szCs w:val="28"/>
        </w:rPr>
      </w:pPr>
    </w:p>
    <w:p w14:paraId="5307BCBC" w14:textId="28025E73"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lang w:val="es-MX"/>
        </w:rPr>
        <w:t>Ello es así pues</w:t>
      </w:r>
      <w:r w:rsidR="000724C8" w:rsidRPr="00BD02B4">
        <w:rPr>
          <w:rFonts w:cs="Arial"/>
          <w:sz w:val="28"/>
          <w:szCs w:val="28"/>
          <w:lang w:val="es-MX"/>
        </w:rPr>
        <w:t xml:space="preserve"> la parte quejosa sostiene que en la exposición de motivos </w:t>
      </w:r>
      <w:r w:rsidR="000724C8" w:rsidRPr="00BD02B4">
        <w:rPr>
          <w:rFonts w:eastAsiaTheme="minorHAnsi" w:cs="Arial"/>
          <w:bCs/>
          <w:sz w:val="28"/>
          <w:szCs w:val="28"/>
          <w:lang w:eastAsia="en-US"/>
        </w:rPr>
        <w:t>el legislador federal tomó como sustento de su motivación</w:t>
      </w:r>
      <w:r w:rsidR="006F2011"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para crear el precepto legal </w:t>
      </w:r>
      <w:r w:rsidR="000724C8" w:rsidRPr="00BD02B4">
        <w:rPr>
          <w:rFonts w:eastAsiaTheme="minorHAnsi" w:cs="Arial"/>
          <w:sz w:val="28"/>
          <w:szCs w:val="28"/>
          <w:lang w:eastAsia="en-US"/>
        </w:rPr>
        <w:t>combatido</w:t>
      </w:r>
      <w:r w:rsidR="000724C8" w:rsidRPr="00BD02B4">
        <w:rPr>
          <w:rFonts w:eastAsiaTheme="minorHAnsi" w:cs="Arial"/>
          <w:bCs/>
          <w:sz w:val="28"/>
          <w:szCs w:val="28"/>
          <w:lang w:eastAsia="en-US"/>
        </w:rPr>
        <w:t>, el contenido de un documento de un organismo internacional</w:t>
      </w:r>
      <w:r w:rsidR="00076A3F" w:rsidRPr="00BD02B4">
        <w:rPr>
          <w:rFonts w:eastAsiaTheme="minorHAnsi" w:cs="Arial"/>
          <w:bCs/>
          <w:sz w:val="28"/>
          <w:szCs w:val="28"/>
          <w:lang w:eastAsia="en-US"/>
        </w:rPr>
        <w:t xml:space="preserve"> y</w:t>
      </w:r>
      <w:r w:rsidR="000724C8" w:rsidRPr="00BD02B4">
        <w:rPr>
          <w:rFonts w:eastAsiaTheme="minorHAnsi" w:cs="Arial"/>
          <w:bCs/>
          <w:sz w:val="28"/>
          <w:szCs w:val="28"/>
          <w:lang w:eastAsia="en-US"/>
        </w:rPr>
        <w:t xml:space="preserve"> lo que tendría que </w:t>
      </w:r>
      <w:r w:rsidR="00130FC9" w:rsidRPr="00BD02B4">
        <w:rPr>
          <w:rFonts w:eastAsiaTheme="minorHAnsi" w:cs="Arial"/>
          <w:bCs/>
          <w:sz w:val="28"/>
          <w:szCs w:val="28"/>
          <w:lang w:eastAsia="en-US"/>
        </w:rPr>
        <w:t>haber hecho</w:t>
      </w:r>
      <w:r w:rsidR="000724C8" w:rsidRPr="00BD02B4">
        <w:rPr>
          <w:rFonts w:eastAsiaTheme="minorHAnsi" w:cs="Arial"/>
          <w:bCs/>
          <w:sz w:val="28"/>
          <w:szCs w:val="28"/>
          <w:lang w:eastAsia="en-US"/>
        </w:rPr>
        <w:t xml:space="preserve"> es tomar en consideración el documento oficial (escrito y firmado en papel) y no </w:t>
      </w:r>
      <w:r w:rsidR="006F2011" w:rsidRPr="00BD02B4">
        <w:rPr>
          <w:rFonts w:eastAsiaTheme="minorHAnsi" w:cs="Arial"/>
          <w:bCs/>
          <w:sz w:val="28"/>
          <w:szCs w:val="28"/>
          <w:lang w:eastAsia="en-US"/>
        </w:rPr>
        <w:t>de</w:t>
      </w:r>
      <w:r w:rsidR="000724C8" w:rsidRPr="00BD02B4">
        <w:rPr>
          <w:rFonts w:eastAsiaTheme="minorHAnsi" w:cs="Arial"/>
          <w:bCs/>
          <w:sz w:val="28"/>
          <w:szCs w:val="28"/>
          <w:lang w:eastAsia="en-US"/>
        </w:rPr>
        <w:t xml:space="preserve"> una página de internet, a fin de evitar errores en cuanto a su contenido</w:t>
      </w:r>
      <w:r w:rsidR="00961B0C" w:rsidRPr="00BD02B4">
        <w:rPr>
          <w:rFonts w:eastAsiaTheme="minorHAnsi" w:cs="Arial"/>
          <w:bCs/>
          <w:sz w:val="28"/>
          <w:szCs w:val="28"/>
          <w:lang w:eastAsia="en-US"/>
        </w:rPr>
        <w:t>, además de</w:t>
      </w:r>
      <w:r w:rsidR="000724C8" w:rsidRPr="00BD02B4">
        <w:rPr>
          <w:rFonts w:eastAsiaTheme="minorHAnsi" w:cs="Arial"/>
          <w:bCs/>
          <w:sz w:val="28"/>
          <w:szCs w:val="28"/>
          <w:lang w:eastAsia="en-US"/>
        </w:rPr>
        <w:t xml:space="preserve"> señalar cómo fue que tradujo dicho documento, es decir, si empleó o no un perito</w:t>
      </w:r>
      <w:r w:rsidR="00961B0C"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sin embargo, </w:t>
      </w:r>
      <w:r w:rsidR="000724C8" w:rsidRPr="00BD02B4">
        <w:rPr>
          <w:rFonts w:cs="Arial"/>
          <w:sz w:val="28"/>
          <w:szCs w:val="28"/>
          <w:lang w:eastAsia="es-ES"/>
        </w:rPr>
        <w:t xml:space="preserve">los documentos internos que </w:t>
      </w:r>
      <w:r w:rsidR="004909C8" w:rsidRPr="00BD02B4">
        <w:rPr>
          <w:rFonts w:cs="Arial"/>
          <w:sz w:val="28"/>
          <w:szCs w:val="28"/>
          <w:lang w:eastAsia="es-ES"/>
        </w:rPr>
        <w:t xml:space="preserve">sean utilizados en el </w:t>
      </w:r>
      <w:r w:rsidR="000724C8" w:rsidRPr="00BD02B4">
        <w:rPr>
          <w:rFonts w:cs="Arial"/>
          <w:sz w:val="28"/>
          <w:szCs w:val="28"/>
          <w:lang w:eastAsia="es-ES"/>
        </w:rPr>
        <w:t>proceso legislativo,</w:t>
      </w:r>
      <w:r w:rsidR="00AF0077" w:rsidRPr="00BD02B4">
        <w:rPr>
          <w:rFonts w:cs="Arial"/>
          <w:sz w:val="28"/>
          <w:szCs w:val="28"/>
          <w:lang w:eastAsia="es-ES"/>
        </w:rPr>
        <w:t xml:space="preserve"> no </w:t>
      </w:r>
      <w:r w:rsidR="00AF56E0" w:rsidRPr="00BD02B4">
        <w:rPr>
          <w:rFonts w:cs="Arial"/>
          <w:sz w:val="28"/>
          <w:szCs w:val="28"/>
          <w:lang w:eastAsia="es-ES"/>
        </w:rPr>
        <w:t xml:space="preserve">pueden </w:t>
      </w:r>
      <w:r w:rsidR="004A6CCE" w:rsidRPr="00BD02B4">
        <w:rPr>
          <w:rFonts w:cs="Arial"/>
          <w:i/>
          <w:iCs/>
          <w:sz w:val="28"/>
          <w:szCs w:val="28"/>
          <w:lang w:eastAsia="es-ES"/>
        </w:rPr>
        <w:t>per se</w:t>
      </w:r>
      <w:r w:rsidR="004A6CCE" w:rsidRPr="00BD02B4">
        <w:rPr>
          <w:rFonts w:cs="Arial"/>
          <w:sz w:val="28"/>
          <w:szCs w:val="28"/>
          <w:lang w:eastAsia="es-ES"/>
        </w:rPr>
        <w:t xml:space="preserve"> </w:t>
      </w:r>
      <w:r w:rsidR="00AF56E0" w:rsidRPr="00BD02B4">
        <w:rPr>
          <w:rFonts w:cs="Arial"/>
          <w:sz w:val="28"/>
          <w:szCs w:val="28"/>
          <w:lang w:eastAsia="es-ES"/>
        </w:rPr>
        <w:t>acarrear la inconstitucionalidad de la norm</w:t>
      </w:r>
      <w:r w:rsidR="004A6CCE" w:rsidRPr="00BD02B4">
        <w:rPr>
          <w:rFonts w:cs="Arial"/>
          <w:sz w:val="28"/>
          <w:szCs w:val="28"/>
          <w:lang w:eastAsia="es-ES"/>
        </w:rPr>
        <w:t>a,</w:t>
      </w:r>
      <w:r w:rsidR="00AF56E0" w:rsidRPr="00BD02B4">
        <w:rPr>
          <w:rFonts w:cs="Arial"/>
          <w:sz w:val="28"/>
          <w:szCs w:val="28"/>
          <w:lang w:eastAsia="es-ES"/>
        </w:rPr>
        <w:t xml:space="preserve"> </w:t>
      </w:r>
      <w:r w:rsidR="000724C8" w:rsidRPr="00BD02B4">
        <w:rPr>
          <w:rFonts w:cs="Arial"/>
          <w:sz w:val="28"/>
          <w:szCs w:val="28"/>
          <w:lang w:eastAsia="es-ES"/>
        </w:rPr>
        <w:t xml:space="preserve">dado que por un lado, son independientes de lo </w:t>
      </w:r>
      <w:r w:rsidR="000724C8" w:rsidRPr="00BD02B4">
        <w:rPr>
          <w:rFonts w:cs="Arial"/>
          <w:sz w:val="28"/>
          <w:szCs w:val="28"/>
        </w:rPr>
        <w:t>razonado por el legislador y</w:t>
      </w:r>
      <w:r w:rsidR="00AF56E0" w:rsidRPr="00BD02B4">
        <w:rPr>
          <w:rFonts w:cs="Arial"/>
          <w:sz w:val="28"/>
          <w:szCs w:val="28"/>
        </w:rPr>
        <w:t>,</w:t>
      </w:r>
      <w:r w:rsidR="000724C8" w:rsidRPr="00BD02B4">
        <w:rPr>
          <w:rFonts w:cs="Arial"/>
          <w:sz w:val="28"/>
          <w:szCs w:val="28"/>
        </w:rPr>
        <w:t xml:space="preserve"> por otro, </w:t>
      </w:r>
      <w:r w:rsidR="00AF56E0" w:rsidRPr="00BD02B4">
        <w:rPr>
          <w:rFonts w:cs="Arial"/>
          <w:sz w:val="28"/>
          <w:szCs w:val="28"/>
        </w:rPr>
        <w:t>si</w:t>
      </w:r>
      <w:r w:rsidR="000724C8" w:rsidRPr="00BD02B4">
        <w:rPr>
          <w:rFonts w:cs="Arial"/>
          <w:sz w:val="28"/>
          <w:szCs w:val="28"/>
        </w:rPr>
        <w:t xml:space="preserve"> bien </w:t>
      </w:r>
      <w:r w:rsidR="00AF56E0" w:rsidRPr="00BD02B4">
        <w:rPr>
          <w:rFonts w:cs="Arial"/>
          <w:sz w:val="28"/>
          <w:szCs w:val="28"/>
        </w:rPr>
        <w:t>son</w:t>
      </w:r>
      <w:r w:rsidR="000724C8" w:rsidRPr="00BD02B4">
        <w:rPr>
          <w:rFonts w:cs="Arial"/>
          <w:sz w:val="28"/>
          <w:szCs w:val="28"/>
        </w:rPr>
        <w:t xml:space="preserve"> una herramienta para </w:t>
      </w:r>
      <w:r w:rsidR="00A1099D" w:rsidRPr="00BD02B4">
        <w:rPr>
          <w:rFonts w:cs="Arial"/>
          <w:sz w:val="28"/>
          <w:szCs w:val="28"/>
        </w:rPr>
        <w:t>aquél</w:t>
      </w:r>
      <w:r w:rsidR="000724C8" w:rsidRPr="00BD02B4">
        <w:rPr>
          <w:rFonts w:cs="Arial"/>
          <w:sz w:val="28"/>
          <w:szCs w:val="28"/>
        </w:rPr>
        <w:t xml:space="preserve">, </w:t>
      </w:r>
      <w:r w:rsidR="00872C3B" w:rsidRPr="00BD02B4">
        <w:rPr>
          <w:rFonts w:cs="Arial"/>
          <w:sz w:val="28"/>
          <w:szCs w:val="28"/>
        </w:rPr>
        <w:t xml:space="preserve">no vinculan al órgano aplicador o intérprete del derecho. </w:t>
      </w:r>
    </w:p>
    <w:p w14:paraId="6AE053EF"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3B00D749" w14:textId="5329A899"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efecto, </w:t>
      </w:r>
      <w:r w:rsidR="000724C8" w:rsidRPr="00BD02B4">
        <w:rPr>
          <w:rFonts w:cs="Arial"/>
          <w:sz w:val="28"/>
          <w:szCs w:val="28"/>
        </w:rPr>
        <w:t xml:space="preserve">ha sido criterio de este Alto Tribunal que el efecto de la incorporación de la información que se utiliza en la exposición de motivos </w:t>
      </w:r>
      <w:r w:rsidR="000724C8" w:rsidRPr="00BD02B4">
        <w:rPr>
          <w:rFonts w:cs="Arial"/>
          <w:sz w:val="28"/>
          <w:szCs w:val="28"/>
        </w:rPr>
        <w:lastRenderedPageBreak/>
        <w:t xml:space="preserve">es únicamente </w:t>
      </w:r>
      <w:r w:rsidR="000724C8" w:rsidRPr="00BD02B4">
        <w:rPr>
          <w:rFonts w:cs="Arial"/>
          <w:sz w:val="28"/>
          <w:szCs w:val="28"/>
          <w:lang w:eastAsia="es-ES"/>
        </w:rPr>
        <w:t>orientador, no como condición de constitucionalidad de una norma ya que</w:t>
      </w:r>
      <w:r w:rsidR="00497E28" w:rsidRPr="00BD02B4">
        <w:rPr>
          <w:rFonts w:cs="Arial"/>
          <w:sz w:val="28"/>
          <w:szCs w:val="28"/>
          <w:lang w:eastAsia="es-ES"/>
        </w:rPr>
        <w:t>,</w:t>
      </w:r>
      <w:r w:rsidR="000724C8" w:rsidRPr="00BD02B4">
        <w:rPr>
          <w:rFonts w:cs="Arial"/>
          <w:sz w:val="28"/>
          <w:szCs w:val="28"/>
          <w:lang w:eastAsia="es-ES"/>
        </w:rPr>
        <w:t xml:space="preserve"> en todo caso, </w:t>
      </w:r>
      <w:r w:rsidR="00497E28" w:rsidRPr="00BD02B4">
        <w:rPr>
          <w:rFonts w:cs="Arial"/>
          <w:sz w:val="28"/>
          <w:szCs w:val="28"/>
          <w:lang w:eastAsia="es-ES"/>
        </w:rPr>
        <w:t>l</w:t>
      </w:r>
      <w:r w:rsidR="00C9195E" w:rsidRPr="00BD02B4">
        <w:rPr>
          <w:rFonts w:cs="Arial"/>
          <w:sz w:val="28"/>
          <w:szCs w:val="28"/>
          <w:lang w:eastAsia="es-ES"/>
        </w:rPr>
        <w:t>a regularidad constitucional</w:t>
      </w:r>
      <w:r w:rsidR="000724C8" w:rsidRPr="00BD02B4">
        <w:rPr>
          <w:rFonts w:cs="Arial"/>
          <w:sz w:val="28"/>
          <w:szCs w:val="28"/>
          <w:lang w:eastAsia="es-ES"/>
        </w:rPr>
        <w:t xml:space="preserve"> de la misma se basa en sus méritos, frente al texto </w:t>
      </w:r>
      <w:r w:rsidR="00C9195E" w:rsidRPr="00BD02B4">
        <w:rPr>
          <w:rFonts w:cs="Arial"/>
          <w:sz w:val="28"/>
          <w:szCs w:val="28"/>
        </w:rPr>
        <w:t>de nuestra Carta Magna</w:t>
      </w:r>
      <w:r w:rsidR="000724C8" w:rsidRPr="00BD02B4">
        <w:rPr>
          <w:rFonts w:cs="Arial"/>
          <w:sz w:val="28"/>
          <w:szCs w:val="28"/>
        </w:rPr>
        <w:t xml:space="preserve"> con motivo de los cuestionamientos que de esa </w:t>
      </w:r>
      <w:r w:rsidR="000724C8" w:rsidRPr="00BD02B4">
        <w:rPr>
          <w:rFonts w:eastAsiaTheme="minorHAnsi" w:cs="Arial"/>
          <w:sz w:val="28"/>
          <w:szCs w:val="28"/>
          <w:lang w:eastAsia="en-US"/>
        </w:rPr>
        <w:t>índole</w:t>
      </w:r>
      <w:r w:rsidR="000724C8" w:rsidRPr="00BD02B4">
        <w:rPr>
          <w:rFonts w:cs="Arial"/>
          <w:sz w:val="28"/>
          <w:szCs w:val="28"/>
        </w:rPr>
        <w:t xml:space="preserve"> haga valer el gobernado. </w:t>
      </w:r>
    </w:p>
    <w:p w14:paraId="2A4FCEE2"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52C072E4" w14:textId="455F1759" w:rsidR="000724C8" w:rsidRPr="00BD02B4" w:rsidRDefault="000724C8" w:rsidP="00004076">
      <w:pPr>
        <w:pStyle w:val="corte4fondo"/>
        <w:numPr>
          <w:ilvl w:val="0"/>
          <w:numId w:val="5"/>
        </w:numPr>
        <w:ind w:left="0" w:right="-232" w:hanging="567"/>
        <w:contextualSpacing/>
        <w:rPr>
          <w:rFonts w:cs="Arial"/>
          <w:sz w:val="24"/>
          <w:szCs w:val="28"/>
        </w:rPr>
      </w:pPr>
      <w:r w:rsidRPr="00BD02B4">
        <w:rPr>
          <w:rFonts w:cs="Arial"/>
          <w:sz w:val="28"/>
          <w:szCs w:val="28"/>
        </w:rPr>
        <w:t>Al respecto</w:t>
      </w:r>
      <w:r w:rsidR="00C9195E" w:rsidRPr="00BD02B4">
        <w:rPr>
          <w:rFonts w:cs="Arial"/>
          <w:sz w:val="28"/>
          <w:szCs w:val="28"/>
        </w:rPr>
        <w:t>, son útiles</w:t>
      </w:r>
      <w:r w:rsidR="00694063" w:rsidRPr="00BD02B4">
        <w:rPr>
          <w:rFonts w:cs="Arial"/>
          <w:sz w:val="28"/>
          <w:szCs w:val="28"/>
        </w:rPr>
        <w:t xml:space="preserve"> los siguientes criterios</w:t>
      </w:r>
      <w:r w:rsidRPr="00BD02B4">
        <w:rPr>
          <w:rFonts w:cs="Arial"/>
          <w:sz w:val="28"/>
          <w:szCs w:val="28"/>
        </w:rPr>
        <w:t xml:space="preserve">: </w:t>
      </w:r>
    </w:p>
    <w:p w14:paraId="3C0476E9" w14:textId="77777777" w:rsidR="000724C8" w:rsidRPr="00BD02B4" w:rsidRDefault="000724C8" w:rsidP="00004076">
      <w:pPr>
        <w:pStyle w:val="corte5transcripcion"/>
        <w:spacing w:line="240" w:lineRule="auto"/>
        <w:ind w:left="567" w:right="-232"/>
        <w:rPr>
          <w:sz w:val="28"/>
          <w:szCs w:val="28"/>
        </w:rPr>
      </w:pPr>
    </w:p>
    <w:p w14:paraId="12529992" w14:textId="472FBD37" w:rsidR="000724C8" w:rsidRPr="00BD02B4" w:rsidRDefault="000724C8" w:rsidP="00004076">
      <w:pPr>
        <w:pStyle w:val="corte5transcripcion"/>
        <w:spacing w:line="240" w:lineRule="auto"/>
        <w:ind w:left="567" w:right="-232"/>
        <w:rPr>
          <w:b w:val="0"/>
          <w:sz w:val="26"/>
          <w:szCs w:val="26"/>
        </w:rPr>
      </w:pPr>
      <w:r w:rsidRPr="00BD02B4">
        <w:rPr>
          <w:sz w:val="26"/>
          <w:szCs w:val="26"/>
        </w:rPr>
        <w:t xml:space="preserve">“PROCESO LEGISLATIVO. PARA EMITIR UN JUICIO DE CONSTITUCIONALIDAD NO ES INDISPENSABLE QUE EL LEGISLADOR HAYA EXPRESADO ARGUMENTOS QUE JUSTIFIQUEN SU ACTUACIÓN EN EL PROCESO DE CREACIÓN NORMATIVA. </w:t>
      </w:r>
      <w:r w:rsidRPr="00BD02B4">
        <w:rPr>
          <w:b w:val="0"/>
          <w:sz w:val="26"/>
          <w:szCs w:val="26"/>
        </w:rPr>
        <w:t>La Suprema Corte de Justicia de la Nación ha modulado el requisito constitucional a cargo de las autoridades legislativas para motivar sus actos (particularmente en materia de equidad tributaria), y se les ha exigido que aporten las razones por las cuales otorgan un trato diferenciado a ciertos sujetos pasivos de un tributo, de ahí la conveniencia de que en el proceso legislativo aparezcan explicaciones ilustrativas sobre las razones que informan una determinada modificación normativa -las cuales pueden considerarse correctas y convincentes, salvo que en sí mismas ameriten un reproche constitucional directo-, lo que redunda en un adecuado equilibrio entre la función legislativa y la interpretativa de la norma a la luz de los principios constitucionales. Sin embargo, no es condición indispensable ni necesaria para emitir un juicio de constitucionalidad que el legislador haya expresado argumentos o justificaciones específicas de sus actos en el proceso de creación normativa, ya que en todo caso el Alto Tribunal debe apreciar en sus méritos la norma de que se trate frente al texto constitucional y con motivo de los cuestionamientos que de esa índole haga valer el gobernado, de forma que puede determinar la inconstitucionalidad de preceptos ampliamente razonados por el legislador en el proceso respectivo.</w:t>
      </w:r>
      <w:r w:rsidR="00694063" w:rsidRPr="00BD02B4">
        <w:rPr>
          <w:b w:val="0"/>
          <w:sz w:val="26"/>
          <w:szCs w:val="26"/>
        </w:rPr>
        <w:t>”</w:t>
      </w:r>
      <w:r w:rsidRPr="00BD02B4">
        <w:rPr>
          <w:rStyle w:val="Refdenotaalpie"/>
          <w:b w:val="0"/>
          <w:sz w:val="24"/>
        </w:rPr>
        <w:footnoteReference w:id="4"/>
      </w:r>
    </w:p>
    <w:p w14:paraId="05DA301D" w14:textId="77777777" w:rsidR="000724C8" w:rsidRPr="00BD02B4" w:rsidRDefault="000724C8" w:rsidP="00004076">
      <w:pPr>
        <w:pStyle w:val="corte5transcripcion"/>
        <w:spacing w:line="240" w:lineRule="auto"/>
        <w:ind w:left="567" w:right="-232"/>
        <w:rPr>
          <w:sz w:val="26"/>
          <w:szCs w:val="26"/>
        </w:rPr>
      </w:pPr>
    </w:p>
    <w:p w14:paraId="1E74733F" w14:textId="77777777" w:rsidR="000724C8" w:rsidRPr="00BD02B4" w:rsidRDefault="000724C8" w:rsidP="00004076">
      <w:pPr>
        <w:pStyle w:val="corte5transcripcion"/>
        <w:spacing w:line="240" w:lineRule="auto"/>
        <w:ind w:left="567" w:right="-232"/>
        <w:rPr>
          <w:sz w:val="26"/>
          <w:szCs w:val="26"/>
        </w:rPr>
      </w:pPr>
    </w:p>
    <w:p w14:paraId="7475FFE4" w14:textId="191BB938" w:rsidR="000724C8" w:rsidRPr="00BD02B4" w:rsidRDefault="000724C8" w:rsidP="00004076">
      <w:pPr>
        <w:pStyle w:val="corte5transcripcion"/>
        <w:spacing w:line="240" w:lineRule="auto"/>
        <w:ind w:left="567" w:right="-232"/>
        <w:rPr>
          <w:b w:val="0"/>
          <w:sz w:val="28"/>
          <w:szCs w:val="28"/>
        </w:rPr>
      </w:pPr>
      <w:r w:rsidRPr="00BD02B4">
        <w:rPr>
          <w:sz w:val="26"/>
          <w:szCs w:val="26"/>
        </w:rPr>
        <w:t xml:space="preserve">“LEYES. ALCANCE DEL CONTENIDO DE LOS DOCUMENTOS QUE INTEGRAN EL PROCESO LEGISLATIVO PARA FIJAR SU SENTIDO. </w:t>
      </w:r>
      <w:r w:rsidRPr="00BD02B4">
        <w:rPr>
          <w:bCs/>
          <w:sz w:val="26"/>
          <w:szCs w:val="26"/>
          <w:u w:val="single"/>
        </w:rPr>
        <w:t>Las normas legales, al ser producto del proceso legislativo, adquieren existencia jurídica hasta que éste culmina; de manera que sólo pueden estar contenidas en el texto de la ley resultante y no en alguno de los documentos internos que conforman dicho proceso, por lo que lo consignado en éstos no vincula al órgano aplicador (e intérprete) del derecho</w:t>
      </w:r>
      <w:r w:rsidRPr="00BD02B4">
        <w:rPr>
          <w:b w:val="0"/>
          <w:sz w:val="26"/>
          <w:szCs w:val="26"/>
        </w:rPr>
        <w:t xml:space="preserve">. Consecuentemente, tales documentos únicamente pueden mover el ánimo del juzgador respecto del alcance que se le debe adscribir a la norma -al decidir si el caso sometido a su consideración se encuentra o no previsto en la misma-, en función de los méritos de sus argumentos. Es decir, los documentos del proceso legislativo resultan determinantes para fijar el sentido de la norma legal exclusivamente en aquellas instancias en que el Juez decide atender las razones contenidas en ellos, por estimar que son de peso para resolver el </w:t>
      </w:r>
      <w:r w:rsidRPr="00BD02B4">
        <w:rPr>
          <w:b w:val="0"/>
          <w:sz w:val="26"/>
          <w:szCs w:val="26"/>
        </w:rPr>
        <w:lastRenderedPageBreak/>
        <w:t>problema de indeterminación que se le presenta en el caso concreto. Por tanto, habida cuenta que los documentos mencionados sólo constituyen una herramienta interpretativa de la norma legal, y que lo dicho en ellos no tiene carácter jurídico vinculatorio, sino persuasivo, resulta evidente que lo dispuesto en éstos, en los casos en que se encuentre en contradicción con lo prescrito en la norma jurídica, no puede provocar un conflicto que deba resolver el Juez para poder fijar el alcance de la disposición aplicable al caso particular, lo que sí acontece cuando dos normas jurídicas de igual jerarquía se encuentran en contradicción. Así, la función de los documentos del proceso legislativo se limita a orientar al juzgador sobre la manera de integrar o colmar lagunas en aquellos aspectos en que la norma resulta indeterminada, pero no en competir con ella sobre la prescripción que debe prevalecer respecto de cuestiones que sí están previstas en aquélla.</w:t>
      </w:r>
      <w:r w:rsidR="00694063" w:rsidRPr="00BD02B4">
        <w:rPr>
          <w:b w:val="0"/>
          <w:sz w:val="26"/>
          <w:szCs w:val="26"/>
        </w:rPr>
        <w:t>”</w:t>
      </w:r>
      <w:r w:rsidRPr="00BD02B4">
        <w:rPr>
          <w:rStyle w:val="Refdenotaalpie"/>
          <w:b w:val="0"/>
          <w:sz w:val="24"/>
        </w:rPr>
        <w:footnoteReference w:id="5"/>
      </w:r>
    </w:p>
    <w:p w14:paraId="6DE6BD05" w14:textId="77777777" w:rsidR="000724C8" w:rsidRPr="00BD02B4" w:rsidRDefault="000724C8" w:rsidP="00004076">
      <w:pPr>
        <w:pStyle w:val="corte4fondo"/>
        <w:ind w:left="567" w:right="-232" w:firstLine="0"/>
        <w:contextualSpacing/>
        <w:rPr>
          <w:rFonts w:eastAsiaTheme="minorHAnsi" w:cs="Arial"/>
          <w:color w:val="000000"/>
          <w:sz w:val="28"/>
          <w:szCs w:val="28"/>
          <w:lang w:eastAsia="en-US"/>
        </w:rPr>
      </w:pPr>
    </w:p>
    <w:p w14:paraId="47EE57EF" w14:textId="44F160A9" w:rsidR="000724C8" w:rsidRPr="00BD02B4" w:rsidRDefault="000724C8"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De ahí que el </w:t>
      </w:r>
      <w:r w:rsidRPr="00BD02B4">
        <w:rPr>
          <w:rFonts w:cs="Arial"/>
          <w:sz w:val="28"/>
          <w:szCs w:val="28"/>
        </w:rPr>
        <w:t>argumento</w:t>
      </w:r>
      <w:r w:rsidRPr="00BD02B4">
        <w:rPr>
          <w:rFonts w:eastAsiaTheme="minorHAnsi" w:cs="Arial"/>
          <w:color w:val="000000"/>
          <w:sz w:val="28"/>
          <w:szCs w:val="28"/>
          <w:lang w:eastAsia="en-US"/>
        </w:rPr>
        <w:t xml:space="preserve"> planteado, </w:t>
      </w:r>
      <w:r w:rsidR="00373034" w:rsidRPr="00BD02B4">
        <w:rPr>
          <w:rFonts w:eastAsiaTheme="minorHAnsi" w:cs="Arial"/>
          <w:color w:val="000000"/>
          <w:sz w:val="28"/>
          <w:szCs w:val="28"/>
          <w:lang w:eastAsia="en-US"/>
        </w:rPr>
        <w:t>en el que la quejosa atribuye la violación a los principios de l</w:t>
      </w:r>
      <w:r w:rsidRPr="00BD02B4">
        <w:rPr>
          <w:rFonts w:eastAsiaTheme="minorHAnsi" w:cs="Arial"/>
          <w:color w:val="000000"/>
          <w:sz w:val="28"/>
          <w:szCs w:val="28"/>
          <w:lang w:eastAsia="en-US"/>
        </w:rPr>
        <w:t xml:space="preserve">egalidad y seguridad jurídica </w:t>
      </w:r>
      <w:r w:rsidR="00373034" w:rsidRPr="00BD02B4">
        <w:rPr>
          <w:rFonts w:eastAsiaTheme="minorHAnsi" w:cs="Arial"/>
          <w:color w:val="000000"/>
          <w:sz w:val="28"/>
          <w:szCs w:val="28"/>
          <w:lang w:eastAsia="en-US"/>
        </w:rPr>
        <w:t xml:space="preserve">a los documentos citados en la exposición de motivos, </w:t>
      </w:r>
      <w:r w:rsidRPr="00BD02B4">
        <w:rPr>
          <w:rFonts w:eastAsiaTheme="minorHAnsi" w:cs="Arial"/>
          <w:color w:val="000000"/>
          <w:sz w:val="28"/>
          <w:szCs w:val="28"/>
          <w:lang w:eastAsia="en-US"/>
        </w:rPr>
        <w:t>resulte inoperante.</w:t>
      </w:r>
    </w:p>
    <w:p w14:paraId="7B160B48" w14:textId="77777777" w:rsidR="00715B42" w:rsidRPr="00BD02B4" w:rsidRDefault="00715B42" w:rsidP="00715B42">
      <w:pPr>
        <w:pStyle w:val="corte4fondo"/>
        <w:ind w:right="-232" w:firstLine="0"/>
        <w:contextualSpacing/>
        <w:rPr>
          <w:rFonts w:eastAsiaTheme="minorHAnsi" w:cs="Arial"/>
          <w:color w:val="000000"/>
          <w:sz w:val="28"/>
          <w:szCs w:val="28"/>
          <w:lang w:eastAsia="en-US"/>
        </w:rPr>
      </w:pPr>
    </w:p>
    <w:p w14:paraId="4E71ADF2" w14:textId="1E13B688" w:rsidR="00A44A94" w:rsidRPr="00BD02B4" w:rsidRDefault="00D05757"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Sin que obste a </w:t>
      </w:r>
      <w:r w:rsidR="000E6D62" w:rsidRPr="00BD02B4">
        <w:rPr>
          <w:rFonts w:eastAsiaTheme="minorHAnsi" w:cs="Arial"/>
          <w:color w:val="000000"/>
          <w:sz w:val="28"/>
          <w:szCs w:val="28"/>
          <w:lang w:eastAsia="en-US"/>
        </w:rPr>
        <w:t>la conclusión anterior</w:t>
      </w:r>
      <w:r w:rsidR="00715B42" w:rsidRPr="00BD02B4">
        <w:rPr>
          <w:rFonts w:eastAsiaTheme="minorHAnsi" w:cs="Arial"/>
          <w:color w:val="000000"/>
          <w:sz w:val="28"/>
          <w:szCs w:val="28"/>
          <w:lang w:eastAsia="en-US"/>
        </w:rPr>
        <w:t xml:space="preserve">, la referencia </w:t>
      </w:r>
      <w:r w:rsidR="007F5FA3" w:rsidRPr="00BD02B4">
        <w:rPr>
          <w:rFonts w:eastAsiaTheme="minorHAnsi" w:cs="Arial"/>
          <w:color w:val="000000"/>
          <w:sz w:val="28"/>
          <w:szCs w:val="28"/>
          <w:lang w:eastAsia="en-US"/>
        </w:rPr>
        <w:t>de la quejosa</w:t>
      </w:r>
      <w:r w:rsidR="00715B42" w:rsidRPr="00BD02B4">
        <w:rPr>
          <w:rFonts w:eastAsiaTheme="minorHAnsi" w:cs="Arial"/>
          <w:color w:val="000000"/>
          <w:sz w:val="28"/>
          <w:szCs w:val="28"/>
          <w:lang w:eastAsia="en-US"/>
        </w:rPr>
        <w:t xml:space="preserve"> a la jurisprudencia </w:t>
      </w:r>
      <w:r w:rsidR="00564FA1" w:rsidRPr="00BD02B4">
        <w:rPr>
          <w:rFonts w:eastAsiaTheme="minorHAnsi" w:cs="Arial"/>
          <w:color w:val="000000"/>
          <w:sz w:val="28"/>
          <w:szCs w:val="28"/>
          <w:lang w:eastAsia="en-US"/>
        </w:rPr>
        <w:t>2a./J. 148/2016, de rubro “</w:t>
      </w:r>
      <w:r w:rsidR="00B96441" w:rsidRPr="00BD02B4">
        <w:rPr>
          <w:rFonts w:eastAsiaTheme="minorHAnsi" w:cs="Arial"/>
          <w:b/>
          <w:bCs/>
          <w:i/>
          <w:iCs/>
          <w:color w:val="000000"/>
          <w:sz w:val="28"/>
          <w:szCs w:val="28"/>
          <w:lang w:eastAsia="en-US"/>
        </w:rPr>
        <w:t>CONTABILIDAD ELECTRÓNICA. EL ANEXO 24 DE LA RESOLUCIÓN MISCELÁNEA FISCAL PARA 2015, PUBLICADO EN EL DIARIO OFICIAL DE LA FEDERACIÓN EL 5 DE ENERO DE 2015, VIOLA LOS DERECHOS A LA LEGALIDAD Y A LA SEGURIDAD JURÍDICA</w:t>
      </w:r>
      <w:r w:rsidR="00FF6B18" w:rsidRPr="00BD02B4">
        <w:rPr>
          <w:rFonts w:eastAsiaTheme="minorHAnsi" w:cs="Arial"/>
          <w:color w:val="000000"/>
          <w:sz w:val="28"/>
          <w:szCs w:val="28"/>
          <w:lang w:eastAsia="en-US"/>
        </w:rPr>
        <w:t>”</w:t>
      </w:r>
      <w:r w:rsidR="007A5129" w:rsidRPr="00BD02B4">
        <w:rPr>
          <w:rFonts w:eastAsiaTheme="minorHAnsi" w:cs="Arial"/>
          <w:color w:val="000000"/>
          <w:sz w:val="28"/>
          <w:szCs w:val="28"/>
          <w:lang w:eastAsia="en-US"/>
        </w:rPr>
        <w:t>,</w:t>
      </w:r>
      <w:r w:rsidR="00FF6B18" w:rsidRPr="00BD02B4">
        <w:rPr>
          <w:rStyle w:val="Refdenotaalpie"/>
          <w:rFonts w:eastAsiaTheme="minorHAnsi" w:cs="Arial"/>
          <w:color w:val="000000"/>
          <w:sz w:val="24"/>
          <w:szCs w:val="24"/>
          <w:lang w:eastAsia="en-US"/>
        </w:rPr>
        <w:footnoteReference w:id="6"/>
      </w:r>
      <w:r w:rsidR="00B96441" w:rsidRPr="00BD02B4">
        <w:rPr>
          <w:rFonts w:eastAsiaTheme="minorHAnsi" w:cs="Arial"/>
          <w:color w:val="000000"/>
          <w:sz w:val="28"/>
          <w:szCs w:val="28"/>
          <w:lang w:eastAsia="en-US"/>
        </w:rPr>
        <w:t xml:space="preserve"> pues </w:t>
      </w:r>
      <w:r w:rsidR="00341D3B" w:rsidRPr="00BD02B4">
        <w:rPr>
          <w:rFonts w:eastAsiaTheme="minorHAnsi" w:cs="Arial"/>
          <w:color w:val="000000"/>
          <w:sz w:val="28"/>
          <w:szCs w:val="28"/>
          <w:lang w:eastAsia="en-US"/>
        </w:rPr>
        <w:t>ésta</w:t>
      </w:r>
      <w:r w:rsidR="007A5129" w:rsidRPr="00BD02B4">
        <w:rPr>
          <w:rFonts w:eastAsiaTheme="minorHAnsi" w:cs="Arial"/>
          <w:color w:val="000000"/>
          <w:sz w:val="28"/>
          <w:szCs w:val="28"/>
          <w:lang w:eastAsia="en-US"/>
        </w:rPr>
        <w:t xml:space="preserve"> no resulta aplicable ni útil al planteamiento de la quejosa, en virtud de que </w:t>
      </w:r>
      <w:r w:rsidR="008279AA" w:rsidRPr="00BD02B4">
        <w:rPr>
          <w:rFonts w:eastAsiaTheme="minorHAnsi" w:cs="Arial"/>
          <w:color w:val="000000"/>
          <w:sz w:val="28"/>
          <w:szCs w:val="28"/>
          <w:lang w:eastAsia="en-US"/>
        </w:rPr>
        <w:t xml:space="preserve">el </w:t>
      </w:r>
      <w:r w:rsidR="008279AA" w:rsidRPr="00BD02B4">
        <w:rPr>
          <w:rFonts w:eastAsiaTheme="minorHAnsi" w:cs="Arial"/>
          <w:color w:val="000000"/>
          <w:sz w:val="28"/>
          <w:szCs w:val="28"/>
          <w:lang w:eastAsia="en-US"/>
        </w:rPr>
        <w:lastRenderedPageBreak/>
        <w:t>pronunciamiento de la Segunda Sala s</w:t>
      </w:r>
      <w:r w:rsidR="00C16171" w:rsidRPr="00BD02B4">
        <w:rPr>
          <w:rFonts w:eastAsiaTheme="minorHAnsi" w:cs="Arial"/>
          <w:color w:val="000000"/>
          <w:sz w:val="28"/>
          <w:szCs w:val="28"/>
          <w:lang w:eastAsia="en-US"/>
        </w:rPr>
        <w:t>í</w:t>
      </w:r>
      <w:r w:rsidR="008279AA" w:rsidRPr="00BD02B4">
        <w:rPr>
          <w:rFonts w:eastAsiaTheme="minorHAnsi" w:cs="Arial"/>
          <w:color w:val="000000"/>
          <w:sz w:val="28"/>
          <w:szCs w:val="28"/>
          <w:lang w:eastAsia="en-US"/>
        </w:rPr>
        <w:t xml:space="preserve"> versó sobre la norma general cuestionada q</w:t>
      </w:r>
      <w:r w:rsidR="00AE2F2B" w:rsidRPr="00BD02B4">
        <w:rPr>
          <w:rFonts w:eastAsiaTheme="minorHAnsi" w:cs="Arial"/>
          <w:color w:val="000000"/>
          <w:sz w:val="28"/>
          <w:szCs w:val="28"/>
          <w:lang w:eastAsia="en-US"/>
        </w:rPr>
        <w:t xml:space="preserve">ue se consideró ocasionaba inseguridad jurídica </w:t>
      </w:r>
      <w:r w:rsidR="002A545A" w:rsidRPr="00BD02B4">
        <w:rPr>
          <w:rFonts w:eastAsiaTheme="minorHAnsi" w:cs="Arial"/>
          <w:color w:val="000000"/>
          <w:sz w:val="28"/>
          <w:szCs w:val="28"/>
          <w:lang w:eastAsia="en-US"/>
        </w:rPr>
        <w:t>al obligar al gobernado a cumplir con ciertos lineamientos emitidos “por una comunidad internacional” y no una autoridad competente</w:t>
      </w:r>
      <w:r w:rsidR="00434275" w:rsidRPr="00BD02B4">
        <w:rPr>
          <w:rFonts w:eastAsiaTheme="minorHAnsi" w:cs="Arial"/>
          <w:color w:val="000000"/>
          <w:sz w:val="28"/>
          <w:szCs w:val="28"/>
          <w:lang w:eastAsia="en-US"/>
        </w:rPr>
        <w:t xml:space="preserve">, pero además </w:t>
      </w:r>
      <w:r w:rsidR="00A160A8" w:rsidRPr="00BD02B4">
        <w:rPr>
          <w:rFonts w:eastAsiaTheme="minorHAnsi" w:cs="Arial"/>
          <w:color w:val="000000"/>
          <w:sz w:val="28"/>
          <w:szCs w:val="28"/>
          <w:lang w:eastAsia="en-US"/>
        </w:rPr>
        <w:t>establecía</w:t>
      </w:r>
      <w:r w:rsidR="00434275" w:rsidRPr="00BD02B4">
        <w:rPr>
          <w:rFonts w:eastAsiaTheme="minorHAnsi" w:cs="Arial"/>
          <w:color w:val="000000"/>
          <w:sz w:val="28"/>
          <w:szCs w:val="28"/>
          <w:lang w:eastAsia="en-US"/>
        </w:rPr>
        <w:t xml:space="preserve"> los lineamientos y formatos respectivos en el idioma inglés</w:t>
      </w:r>
      <w:r w:rsidR="00FB1AC5" w:rsidRPr="00BD02B4">
        <w:rPr>
          <w:rFonts w:eastAsiaTheme="minorHAnsi" w:cs="Arial"/>
          <w:color w:val="000000"/>
          <w:sz w:val="28"/>
          <w:szCs w:val="28"/>
          <w:lang w:eastAsia="en-US"/>
        </w:rPr>
        <w:t xml:space="preserve">, máxime que la remisión que realizaba el Anexo 24 de referencia excedía </w:t>
      </w:r>
      <w:r w:rsidR="00A44A94" w:rsidRPr="00BD02B4">
        <w:rPr>
          <w:rFonts w:eastAsiaTheme="minorHAnsi" w:cs="Arial"/>
          <w:color w:val="000000"/>
          <w:sz w:val="28"/>
          <w:szCs w:val="28"/>
          <w:lang w:eastAsia="en-US"/>
        </w:rPr>
        <w:t>los límites de la habilitación legal que le fue conferida por el artículo 28 del Código Fiscal de la Federación.</w:t>
      </w:r>
      <w:r w:rsidR="007D2D15" w:rsidRPr="00BD02B4">
        <w:rPr>
          <w:rFonts w:eastAsiaTheme="minorHAnsi" w:cs="Arial"/>
          <w:color w:val="000000"/>
          <w:sz w:val="28"/>
          <w:szCs w:val="28"/>
          <w:lang w:eastAsia="en-US"/>
        </w:rPr>
        <w:t xml:space="preserve"> Como se aprecia, la violación constitucional </w:t>
      </w:r>
      <w:r w:rsidR="001559D7" w:rsidRPr="00BD02B4">
        <w:rPr>
          <w:rFonts w:eastAsiaTheme="minorHAnsi" w:cs="Arial"/>
          <w:color w:val="000000"/>
          <w:sz w:val="28"/>
          <w:szCs w:val="28"/>
          <w:lang w:eastAsia="en-US"/>
        </w:rPr>
        <w:t>se materializa en la norma misma y no se atribuye a la exposición de motivos</w:t>
      </w:r>
      <w:r w:rsidR="00352C63" w:rsidRPr="00BD02B4">
        <w:rPr>
          <w:rFonts w:eastAsiaTheme="minorHAnsi" w:cs="Arial"/>
          <w:color w:val="000000"/>
          <w:sz w:val="28"/>
          <w:szCs w:val="28"/>
          <w:lang w:eastAsia="en-US"/>
        </w:rPr>
        <w:t xml:space="preserve">, como en la especie lo pretende la quejosa. </w:t>
      </w:r>
    </w:p>
    <w:p w14:paraId="7A2B06B6" w14:textId="77777777" w:rsidR="00A44A94" w:rsidRPr="00BD02B4" w:rsidRDefault="00A44A94" w:rsidP="00A44A94">
      <w:pPr>
        <w:pStyle w:val="Prrafodelista"/>
        <w:rPr>
          <w:rFonts w:eastAsiaTheme="minorHAnsi" w:cs="Arial"/>
          <w:color w:val="000000"/>
          <w:sz w:val="28"/>
          <w:szCs w:val="28"/>
          <w:lang w:eastAsia="en-US"/>
        </w:rPr>
      </w:pPr>
    </w:p>
    <w:p w14:paraId="11741DAF" w14:textId="735490AF" w:rsidR="009714A9" w:rsidRPr="00BD02B4" w:rsidRDefault="003D70D6" w:rsidP="00004076">
      <w:pPr>
        <w:pStyle w:val="corte4fondo"/>
        <w:numPr>
          <w:ilvl w:val="0"/>
          <w:numId w:val="5"/>
        </w:numPr>
        <w:ind w:left="0" w:right="-232" w:hanging="567"/>
        <w:contextualSpacing/>
        <w:rPr>
          <w:rFonts w:cs="Arial"/>
          <w:bCs/>
          <w:iCs/>
          <w:sz w:val="28"/>
          <w:szCs w:val="28"/>
        </w:rPr>
      </w:pPr>
      <w:r w:rsidRPr="00BD02B4">
        <w:rPr>
          <w:rFonts w:eastAsiaTheme="minorHAnsi" w:cs="Arial"/>
          <w:sz w:val="28"/>
          <w:szCs w:val="28"/>
          <w:lang w:eastAsia="en-US"/>
        </w:rPr>
        <w:t>Por otra parte, e</w:t>
      </w:r>
      <w:r w:rsidR="00B9047A" w:rsidRPr="00BD02B4">
        <w:rPr>
          <w:rFonts w:eastAsiaTheme="minorHAnsi" w:cs="Arial"/>
          <w:sz w:val="28"/>
          <w:szCs w:val="28"/>
          <w:lang w:eastAsia="en-US"/>
        </w:rPr>
        <w:t xml:space="preserve">n su </w:t>
      </w:r>
      <w:r w:rsidR="009714A9" w:rsidRPr="00BD02B4">
        <w:rPr>
          <w:rFonts w:eastAsiaTheme="minorHAnsi" w:cs="Arial"/>
          <w:b/>
          <w:bCs/>
          <w:sz w:val="28"/>
          <w:szCs w:val="28"/>
          <w:lang w:eastAsia="en-US"/>
        </w:rPr>
        <w:t>primer concepto de violación</w:t>
      </w:r>
      <w:r w:rsidR="009714A9" w:rsidRPr="00BD02B4">
        <w:rPr>
          <w:rFonts w:eastAsiaTheme="minorHAnsi" w:cs="Arial"/>
          <w:sz w:val="28"/>
          <w:szCs w:val="28"/>
          <w:lang w:eastAsia="en-US"/>
        </w:rPr>
        <w:t xml:space="preserve"> la parte quejosa sostiene</w:t>
      </w:r>
      <w:r w:rsidR="003C1515" w:rsidRPr="00BD02B4">
        <w:rPr>
          <w:rFonts w:eastAsiaTheme="minorHAnsi" w:cs="Arial"/>
          <w:sz w:val="28"/>
          <w:szCs w:val="28"/>
          <w:lang w:eastAsia="en-US"/>
        </w:rPr>
        <w:t xml:space="preserve">, </w:t>
      </w:r>
      <w:r w:rsidR="00326D77" w:rsidRPr="00BD02B4">
        <w:rPr>
          <w:rFonts w:eastAsiaTheme="minorHAnsi" w:cs="Arial"/>
          <w:sz w:val="28"/>
          <w:szCs w:val="28"/>
          <w:lang w:eastAsia="en-US"/>
        </w:rPr>
        <w:t>esencialmente</w:t>
      </w:r>
      <w:r w:rsidR="003C1515" w:rsidRPr="00BD02B4">
        <w:rPr>
          <w:rFonts w:eastAsiaTheme="minorHAnsi" w:cs="Arial"/>
          <w:sz w:val="28"/>
          <w:szCs w:val="28"/>
          <w:lang w:eastAsia="en-US"/>
        </w:rPr>
        <w:t>,</w:t>
      </w:r>
      <w:r w:rsidR="009714A9" w:rsidRPr="00BD02B4">
        <w:rPr>
          <w:rFonts w:eastAsiaTheme="minorHAnsi" w:cs="Arial"/>
          <w:sz w:val="28"/>
          <w:szCs w:val="28"/>
          <w:lang w:eastAsia="en-US"/>
        </w:rPr>
        <w:t xml:space="preserve"> que </w:t>
      </w:r>
      <w:r w:rsidR="009714A9" w:rsidRPr="00BD02B4">
        <w:rPr>
          <w:rFonts w:cs="Arial"/>
          <w:bCs/>
          <w:iCs/>
          <w:sz w:val="28"/>
          <w:szCs w:val="28"/>
        </w:rPr>
        <w:t xml:space="preserve">el artículo 28, fracción XXXII, de la Ley del Impuesto Sobre la Renta, es violatorio de los derechos de </w:t>
      </w:r>
      <w:r w:rsidR="009714A9" w:rsidRPr="00BD02B4">
        <w:rPr>
          <w:rFonts w:eastAsiaTheme="minorHAnsi" w:cs="Arial"/>
          <w:sz w:val="28"/>
          <w:szCs w:val="28"/>
          <w:lang w:eastAsia="en-US"/>
        </w:rPr>
        <w:t>legalidad tributaria y seguridad jurídica,</w:t>
      </w:r>
      <w:r w:rsidR="009714A9" w:rsidRPr="00BD02B4">
        <w:rPr>
          <w:rFonts w:cs="Arial"/>
          <w:bCs/>
          <w:iCs/>
          <w:sz w:val="28"/>
          <w:szCs w:val="28"/>
        </w:rPr>
        <w:t xml:space="preserve"> al no establecer una definición de lo que debe entenderse por </w:t>
      </w:r>
      <w:r w:rsidR="009714A9" w:rsidRPr="00BD02B4">
        <w:rPr>
          <w:rFonts w:cs="Arial"/>
          <w:bCs/>
          <w:i/>
          <w:sz w:val="28"/>
          <w:szCs w:val="28"/>
        </w:rPr>
        <w:t>parte relacionada</w:t>
      </w:r>
      <w:r w:rsidR="009714A9" w:rsidRPr="00BD02B4">
        <w:rPr>
          <w:rFonts w:cs="Arial"/>
          <w:bCs/>
          <w:iCs/>
          <w:sz w:val="28"/>
          <w:szCs w:val="28"/>
        </w:rPr>
        <w:t>, ni remitir a una disposición en particular, dejando en completo estado de indefensión a los contribuyentes, además de desconocer si debe o no observar lo dispuesto por la norma impugnada.</w:t>
      </w:r>
    </w:p>
    <w:p w14:paraId="2EA38496" w14:textId="77777777" w:rsidR="009714A9" w:rsidRPr="00BD02B4" w:rsidRDefault="009714A9" w:rsidP="00004076">
      <w:pPr>
        <w:pStyle w:val="Prrafodelista"/>
        <w:ind w:left="284" w:right="-232" w:hanging="284"/>
        <w:contextualSpacing/>
        <w:rPr>
          <w:rFonts w:ascii="Arial" w:hAnsi="Arial" w:cs="Arial"/>
          <w:bCs/>
          <w:iCs/>
          <w:sz w:val="28"/>
          <w:szCs w:val="28"/>
        </w:rPr>
      </w:pPr>
    </w:p>
    <w:p w14:paraId="7B45BC43" w14:textId="585CDE17" w:rsidR="009714A9" w:rsidRPr="00BD02B4" w:rsidRDefault="009714A9" w:rsidP="00004076">
      <w:pPr>
        <w:pStyle w:val="corte4fondo"/>
        <w:numPr>
          <w:ilvl w:val="0"/>
          <w:numId w:val="5"/>
        </w:numPr>
        <w:ind w:left="0" w:right="-232" w:hanging="567"/>
        <w:contextualSpacing/>
        <w:rPr>
          <w:rFonts w:eastAsiaTheme="minorHAnsi" w:cs="Arial"/>
          <w:sz w:val="28"/>
          <w:szCs w:val="28"/>
          <w:lang w:eastAsia="en-US"/>
        </w:rPr>
      </w:pPr>
      <w:r w:rsidRPr="00BD02B4">
        <w:rPr>
          <w:rFonts w:cs="Arial"/>
          <w:bCs/>
          <w:iCs/>
          <w:sz w:val="28"/>
          <w:szCs w:val="28"/>
        </w:rPr>
        <w:t xml:space="preserve">Refiere </w:t>
      </w:r>
      <w:r w:rsidRPr="00BD02B4">
        <w:rPr>
          <w:rFonts w:cs="Arial"/>
          <w:bCs/>
          <w:i/>
          <w:sz w:val="28"/>
          <w:szCs w:val="28"/>
        </w:rPr>
        <w:t>que</w:t>
      </w:r>
      <w:r w:rsidRPr="00BD02B4">
        <w:rPr>
          <w:rFonts w:cs="Arial"/>
          <w:bCs/>
          <w:iCs/>
          <w:sz w:val="28"/>
          <w:szCs w:val="28"/>
        </w:rPr>
        <w:t xml:space="preserve">, en la Ley del Impuesto Sobre la Renta, se contienen cuando menos dos definiciones de </w:t>
      </w:r>
      <w:r w:rsidRPr="00BD02B4">
        <w:rPr>
          <w:rFonts w:cs="Arial"/>
          <w:bCs/>
          <w:i/>
          <w:iCs/>
          <w:sz w:val="28"/>
          <w:szCs w:val="28"/>
        </w:rPr>
        <w:t>“parte relacionada”</w:t>
      </w:r>
      <w:r w:rsidRPr="00BD02B4">
        <w:rPr>
          <w:rFonts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33B91585" w14:textId="77777777" w:rsidR="00280ED1" w:rsidRPr="00BD02B4" w:rsidRDefault="00280ED1" w:rsidP="00004076">
      <w:pPr>
        <w:pStyle w:val="corte4fondo"/>
        <w:ind w:right="-232" w:firstLine="0"/>
        <w:contextualSpacing/>
        <w:rPr>
          <w:rFonts w:eastAsiaTheme="minorHAnsi" w:cs="Arial"/>
          <w:sz w:val="28"/>
          <w:szCs w:val="28"/>
          <w:lang w:eastAsia="en-US"/>
        </w:rPr>
      </w:pPr>
    </w:p>
    <w:p w14:paraId="49902C5B" w14:textId="08430131"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lang w:val="es-ES"/>
        </w:rPr>
        <w:t xml:space="preserve">Para dar respuesta a lo esgrimido, </w:t>
      </w:r>
      <w:r w:rsidR="00DD3A67" w:rsidRPr="00BD02B4">
        <w:rPr>
          <w:rFonts w:cs="Arial"/>
          <w:sz w:val="28"/>
          <w:szCs w:val="28"/>
          <w:lang w:val="es-ES"/>
        </w:rPr>
        <w:t>debemos tener presente</w:t>
      </w:r>
      <w:r w:rsidRPr="00BD02B4">
        <w:rPr>
          <w:rFonts w:cs="Arial"/>
          <w:sz w:val="28"/>
          <w:szCs w:val="28"/>
          <w:lang w:val="es-ES"/>
        </w:rPr>
        <w:t xml:space="preserve"> que </w:t>
      </w:r>
      <w:r w:rsidR="00DD3A67" w:rsidRPr="00BD02B4">
        <w:rPr>
          <w:rFonts w:cs="Arial"/>
          <w:sz w:val="28"/>
          <w:szCs w:val="28"/>
          <w:lang w:val="es-ES"/>
        </w:rPr>
        <w:t>e</w:t>
      </w:r>
      <w:r w:rsidRPr="00BD02B4">
        <w:rPr>
          <w:rFonts w:cs="Arial"/>
          <w:sz w:val="28"/>
          <w:szCs w:val="28"/>
        </w:rPr>
        <w:t xml:space="preserve">l principio de seguridad jurídica es la base sobre la cual descansa el sistema jurídico mexicano, de manera tal que lo que tutela es que el gobernado jamás se encuentre en una situación de incertidumbre jurídica y, por tanto, en estado de indefensión. </w:t>
      </w:r>
    </w:p>
    <w:p w14:paraId="3B027CB8" w14:textId="77777777" w:rsidR="00280ED1" w:rsidRPr="00BD02B4" w:rsidRDefault="00280ED1" w:rsidP="00004076">
      <w:pPr>
        <w:ind w:right="-232"/>
        <w:jc w:val="both"/>
        <w:rPr>
          <w:rFonts w:ascii="Arial" w:hAnsi="Arial" w:cs="Arial"/>
          <w:sz w:val="28"/>
          <w:szCs w:val="28"/>
        </w:rPr>
      </w:pPr>
    </w:p>
    <w:p w14:paraId="69777AA1" w14:textId="0D916F2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lastRenderedPageBreak/>
        <w:t>En ese sentido, el contenido esencial de tal principio radica en ‘</w:t>
      </w:r>
      <w:r w:rsidRPr="00BD02B4">
        <w:rPr>
          <w:rFonts w:cs="Arial"/>
          <w:i/>
          <w:sz w:val="28"/>
          <w:szCs w:val="28"/>
        </w:rPr>
        <w:t>saber a qué atenerse</w:t>
      </w:r>
      <w:r w:rsidRPr="00BD02B4">
        <w:rPr>
          <w:rFonts w:cs="Arial"/>
          <w:sz w:val="28"/>
          <w:szCs w:val="28"/>
        </w:rPr>
        <w:t>’, respecto de la regulación normativa prevista en la ley y a la actuación de la autoridad.</w:t>
      </w:r>
      <w:r w:rsidR="00DD3A67" w:rsidRPr="00BD02B4">
        <w:rPr>
          <w:rStyle w:val="Refdenotaalpie"/>
          <w:rFonts w:cs="Arial"/>
          <w:sz w:val="24"/>
          <w:szCs w:val="24"/>
        </w:rPr>
        <w:footnoteReference w:id="7"/>
      </w:r>
    </w:p>
    <w:p w14:paraId="27A85FE3" w14:textId="77777777" w:rsidR="00280ED1" w:rsidRPr="00BD02B4" w:rsidRDefault="00280ED1" w:rsidP="00004076">
      <w:pPr>
        <w:pStyle w:val="Prrafodelista"/>
        <w:ind w:right="-232"/>
        <w:rPr>
          <w:rFonts w:ascii="Arial" w:eastAsia="MS Mincho" w:hAnsi="Arial" w:cs="Arial"/>
          <w:b/>
          <w:sz w:val="28"/>
          <w:szCs w:val="28"/>
        </w:rPr>
      </w:pPr>
    </w:p>
    <w:p w14:paraId="01734270"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Sin embargo, la seguridad jurídica no puede entenderse en el sentido de que la ley debe pormenorizar cada una de las relaciones que surgen durante un proceso, sino que el legislador establece elementos mínimos que sirvan para hacer efectivos los derechos de las personas y, a su vez, se eviten arbitrariedades; por lo tanto, no es necesario que la ley detalle minuciosamente el procedimiento, cuando éste se encuentra definido de manera sencilla para evidenciar la forma en que debe hacerse valer el derecho por el particular, así como las facultades y obligaciones que le corresponden a la autoridad.</w:t>
      </w:r>
    </w:p>
    <w:p w14:paraId="3DC8744A" w14:textId="77777777" w:rsidR="00280ED1" w:rsidRPr="00BD02B4" w:rsidRDefault="00280ED1" w:rsidP="00004076">
      <w:pPr>
        <w:pStyle w:val="Prrafodelista"/>
        <w:ind w:right="-232"/>
        <w:jc w:val="both"/>
        <w:rPr>
          <w:rFonts w:ascii="Arial" w:hAnsi="Arial" w:cs="Arial"/>
          <w:sz w:val="28"/>
          <w:szCs w:val="28"/>
        </w:rPr>
      </w:pPr>
    </w:p>
    <w:p w14:paraId="4E221E2A"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De igual forma, esta Suprema Corte de Justicia de la Nación ha sostenido que la inconstitucionalidad de una norma no puede depender de la supuesta imprecisión o inexactitud en que el legislador incurra al momento de configurarla, pues la exigencia de establecer cada uno de los supuestos y definiciones en el ordenamiento haría imposible la función </w:t>
      </w:r>
      <w:r w:rsidRPr="00BD02B4">
        <w:rPr>
          <w:rFonts w:cs="Arial"/>
          <w:sz w:val="28"/>
          <w:szCs w:val="28"/>
        </w:rPr>
        <w:lastRenderedPageBreak/>
        <w:t>legislativa, en tanto la redacción de las leyes en general se traduciría en una labor interminable e impráctica.</w:t>
      </w:r>
    </w:p>
    <w:p w14:paraId="0DEC0A0D" w14:textId="77777777" w:rsidR="00280ED1" w:rsidRPr="00BD02B4" w:rsidRDefault="00280ED1" w:rsidP="00004076">
      <w:pPr>
        <w:pStyle w:val="Prrafodelista"/>
        <w:ind w:right="-232"/>
        <w:jc w:val="both"/>
        <w:rPr>
          <w:rFonts w:ascii="Arial" w:hAnsi="Arial" w:cs="Arial"/>
          <w:sz w:val="28"/>
          <w:szCs w:val="28"/>
        </w:rPr>
      </w:pPr>
    </w:p>
    <w:p w14:paraId="334A5191" w14:textId="28FE10E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Por ende, en caso de vaguedad, ambigüedad, confusión y contradicción entre los términos, frases, vocablos o locuciones que se establecen en una disposición legal, corresponde entonces a su intérprete establecer el sentido y alcance de </w:t>
      </w:r>
      <w:proofErr w:type="gramStart"/>
      <w:r w:rsidRPr="00BD02B4">
        <w:rPr>
          <w:rFonts w:cs="Arial"/>
          <w:sz w:val="28"/>
          <w:szCs w:val="28"/>
        </w:rPr>
        <w:t>la misma</w:t>
      </w:r>
      <w:proofErr w:type="gramEnd"/>
      <w:r w:rsidR="00463B78" w:rsidRPr="00BD02B4">
        <w:rPr>
          <w:rFonts w:cs="Arial"/>
          <w:sz w:val="28"/>
          <w:szCs w:val="28"/>
        </w:rPr>
        <w:t>,</w:t>
      </w:r>
      <w:r w:rsidRPr="00BD02B4">
        <w:rPr>
          <w:rStyle w:val="Refdenotaalpie"/>
          <w:rFonts w:cs="Arial"/>
          <w:sz w:val="24"/>
          <w:szCs w:val="24"/>
        </w:rPr>
        <w:footnoteReference w:id="8"/>
      </w:r>
      <w:r w:rsidRPr="00BD02B4">
        <w:rPr>
          <w:rFonts w:cs="Arial"/>
          <w:sz w:val="28"/>
          <w:szCs w:val="28"/>
        </w:rPr>
        <w:t xml:space="preserve"> la cual puede armonizarse a través del análisis sistemático del precepto en función con otras normas del propio ordenamiento o de otros ordenamientos que se relacionen y la ley expresamente así lo permita.</w:t>
      </w:r>
      <w:r w:rsidRPr="00BD02B4">
        <w:rPr>
          <w:rStyle w:val="Refdenotaalpie"/>
          <w:rFonts w:cs="Arial"/>
          <w:sz w:val="24"/>
          <w:szCs w:val="24"/>
        </w:rPr>
        <w:footnoteReference w:id="9"/>
      </w:r>
    </w:p>
    <w:p w14:paraId="4527EE09" w14:textId="77777777" w:rsidR="00280ED1" w:rsidRPr="00BD02B4" w:rsidRDefault="00280ED1" w:rsidP="00004076">
      <w:pPr>
        <w:pStyle w:val="Prrafodelista"/>
        <w:spacing w:line="360" w:lineRule="auto"/>
        <w:ind w:left="0" w:right="-232"/>
        <w:contextualSpacing/>
        <w:jc w:val="both"/>
        <w:rPr>
          <w:rFonts w:ascii="Arial" w:hAnsi="Arial" w:cs="Arial"/>
          <w:sz w:val="28"/>
          <w:szCs w:val="28"/>
        </w:rPr>
      </w:pPr>
    </w:p>
    <w:p w14:paraId="27E39840"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En </w:t>
      </w:r>
      <w:r w:rsidRPr="00BD02B4">
        <w:rPr>
          <w:rFonts w:cs="Arial"/>
          <w:sz w:val="28"/>
          <w:szCs w:val="28"/>
        </w:rPr>
        <w:t>cuanto</w:t>
      </w:r>
      <w:r w:rsidRPr="00BD02B4">
        <w:rPr>
          <w:sz w:val="28"/>
          <w:szCs w:val="28"/>
        </w:rPr>
        <w:t xml:space="preserve"> al principio de legalidad tributaria contenido en el artículo 31, fracción IV, de la Constitución Política de los Estados Unidos Mexicanos, esta Suprema Corte de Justicia de la Nación ha sostenido que el mismo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w:t>
      </w:r>
    </w:p>
    <w:p w14:paraId="6154A5F1" w14:textId="77777777" w:rsidR="00280ED1" w:rsidRPr="00BD02B4" w:rsidRDefault="00280ED1" w:rsidP="00004076">
      <w:pPr>
        <w:pStyle w:val="corte4fondo"/>
        <w:ind w:left="-142" w:right="-232" w:firstLine="0"/>
        <w:rPr>
          <w:b/>
          <w:sz w:val="28"/>
          <w:szCs w:val="28"/>
        </w:rPr>
      </w:pPr>
    </w:p>
    <w:p w14:paraId="076EEE76"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Por ello,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p>
    <w:p w14:paraId="45BEEB86" w14:textId="77777777" w:rsidR="00280ED1" w:rsidRPr="00BD02B4" w:rsidRDefault="00280ED1" w:rsidP="00004076">
      <w:pPr>
        <w:pStyle w:val="corte4fondo"/>
        <w:ind w:right="-232" w:firstLine="0"/>
        <w:rPr>
          <w:b/>
          <w:sz w:val="28"/>
          <w:szCs w:val="28"/>
        </w:rPr>
      </w:pPr>
    </w:p>
    <w:p w14:paraId="485E5888" w14:textId="57E28D28"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Además, en atención al carácter general, abstracto e impersonal de la ley, este </w:t>
      </w:r>
      <w:r w:rsidR="0060334D" w:rsidRPr="00BD02B4">
        <w:rPr>
          <w:sz w:val="28"/>
          <w:szCs w:val="28"/>
        </w:rPr>
        <w:t>A</w:t>
      </w:r>
      <w:r w:rsidRPr="00BD02B4">
        <w:rPr>
          <w:sz w:val="28"/>
          <w:szCs w:val="28"/>
        </w:rPr>
        <w:t>lto Tribunal ha establecido que el principio de legalidad tributaria, no implica que el legislador tenga la obligación de definir cada vocablo o locución utilizado en las normas, pues el destinatario de la norma, atento a las actividades que desarrolla, por encontrarse inmerso en su ámbito pueda comprender el significado de las normas, incluso se reconoce la necesidad de que existan métodos de interpretación jurídica que definan su sentido y alcance, con motivo de las imprecisiones y oscuridad legales.</w:t>
      </w:r>
    </w:p>
    <w:p w14:paraId="667745FA" w14:textId="77777777" w:rsidR="00280ED1" w:rsidRPr="00BD02B4" w:rsidRDefault="00280ED1" w:rsidP="00004076">
      <w:pPr>
        <w:pStyle w:val="corte4fondo"/>
        <w:ind w:right="-232" w:firstLine="0"/>
        <w:rPr>
          <w:b/>
          <w:sz w:val="28"/>
          <w:szCs w:val="28"/>
        </w:rPr>
      </w:pPr>
    </w:p>
    <w:p w14:paraId="08C4693B" w14:textId="742742E9" w:rsidR="00280ED1" w:rsidRPr="00BD02B4" w:rsidRDefault="00280ED1" w:rsidP="00004076">
      <w:pPr>
        <w:pStyle w:val="corte4fondo"/>
        <w:numPr>
          <w:ilvl w:val="0"/>
          <w:numId w:val="5"/>
        </w:numPr>
        <w:ind w:left="0" w:right="-232" w:hanging="567"/>
        <w:contextualSpacing/>
        <w:rPr>
          <w:sz w:val="28"/>
          <w:szCs w:val="28"/>
        </w:rPr>
      </w:pPr>
      <w:r w:rsidRPr="00BD02B4">
        <w:rPr>
          <w:sz w:val="28"/>
          <w:szCs w:val="28"/>
        </w:rPr>
        <w:t>Lo anterior así se advierte de la siguiente tesis de jurisprudencia:</w:t>
      </w:r>
    </w:p>
    <w:p w14:paraId="5FFDC685" w14:textId="77777777" w:rsidR="00280ED1" w:rsidRPr="00BD02B4" w:rsidRDefault="00280ED1" w:rsidP="00004076">
      <w:pPr>
        <w:pStyle w:val="corte4fondo"/>
        <w:spacing w:line="240" w:lineRule="auto"/>
        <w:ind w:left="567" w:right="-232" w:firstLine="0"/>
        <w:rPr>
          <w:rStyle w:val="Refdenotaalpie"/>
          <w:i/>
          <w:sz w:val="28"/>
          <w:szCs w:val="28"/>
        </w:rPr>
      </w:pPr>
      <w:r w:rsidRPr="00BD02B4">
        <w:rPr>
          <w:b/>
          <w:i/>
          <w:sz w:val="26"/>
          <w:szCs w:val="26"/>
        </w:rPr>
        <w:t>“LEGALIDAD TRIBUTARIA. ALCANCE DE DICHO PRINCIPIO EN RELACIÓN CON EL GRADO DE DEFINICIÓN QUE DEBEN TENER LOS ELEMENTOS CONSTITUTIVOS DEL IMPUESTO.</w:t>
      </w:r>
      <w:r w:rsidRPr="00BD02B4">
        <w:rPr>
          <w:i/>
          <w:sz w:val="26"/>
          <w:szCs w:val="26"/>
        </w:rPr>
        <w:t xml:space="preserve"> El principio de legalidad tributaria contenido en el artículo 31, fracción IV, de la Constitución Política de los Estados Unidos Mexicanos,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 máxime que su cumplimiento defectuoso tiende a generar actos de molestia y, en su caso, a la emisión de sanciones que afectan su esfera jurídica. Por ende, la jurisprudencia de la Suprema Corte de Justicia de la Nación, tratándose de la definición de alguno de los componentes del tributo, ha declarado violatorios del principio de legalidad tributaria aquellos conceptos confusos o indeterminables para definir los elementos de los impuestos; de ahí que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r w:rsidRPr="00BD02B4">
        <w:rPr>
          <w:rStyle w:val="Refdenotaalpie"/>
          <w:sz w:val="28"/>
          <w:szCs w:val="28"/>
        </w:rPr>
        <w:t xml:space="preserve"> </w:t>
      </w:r>
      <w:r w:rsidRPr="00BD02B4">
        <w:rPr>
          <w:rStyle w:val="Refdenotaalpie"/>
          <w:sz w:val="24"/>
          <w:szCs w:val="24"/>
        </w:rPr>
        <w:footnoteReference w:id="10"/>
      </w:r>
    </w:p>
    <w:p w14:paraId="25B5D088" w14:textId="77777777" w:rsidR="00280ED1" w:rsidRPr="00BD02B4" w:rsidRDefault="00280ED1" w:rsidP="00004076">
      <w:pPr>
        <w:pStyle w:val="corte4fondo"/>
        <w:spacing w:line="240" w:lineRule="auto"/>
        <w:ind w:right="-232" w:firstLine="0"/>
        <w:rPr>
          <w:b/>
          <w:i/>
          <w:sz w:val="28"/>
          <w:szCs w:val="28"/>
        </w:rPr>
      </w:pPr>
    </w:p>
    <w:p w14:paraId="2E59A59C" w14:textId="7DC0ED65" w:rsidR="00465CA4" w:rsidRPr="00BD02B4" w:rsidRDefault="007A5E14" w:rsidP="00004076">
      <w:pPr>
        <w:pStyle w:val="corte4fondo"/>
        <w:numPr>
          <w:ilvl w:val="0"/>
          <w:numId w:val="5"/>
        </w:numPr>
        <w:ind w:left="0" w:right="-232" w:hanging="567"/>
        <w:contextualSpacing/>
      </w:pPr>
      <w:r w:rsidRPr="00BD02B4">
        <w:rPr>
          <w:rFonts w:eastAsiaTheme="minorHAnsi" w:cs="Arial"/>
          <w:sz w:val="28"/>
          <w:szCs w:val="28"/>
          <w:lang w:eastAsia="en-US"/>
        </w:rPr>
        <w:t>A la luz de los principios antes reseñados, el planteamiento de la quejosa e</w:t>
      </w:r>
      <w:r w:rsidR="007B48A5" w:rsidRPr="00BD02B4">
        <w:rPr>
          <w:rFonts w:eastAsiaTheme="minorHAnsi" w:cs="Arial"/>
          <w:sz w:val="28"/>
          <w:szCs w:val="28"/>
          <w:lang w:eastAsia="en-US"/>
        </w:rPr>
        <w:t>n cuanto a la supues</w:t>
      </w:r>
      <w:r w:rsidR="00952619" w:rsidRPr="00BD02B4">
        <w:rPr>
          <w:rFonts w:eastAsiaTheme="minorHAnsi" w:cs="Arial"/>
          <w:sz w:val="28"/>
          <w:szCs w:val="28"/>
          <w:lang w:eastAsia="en-US"/>
        </w:rPr>
        <w:t xml:space="preserve">ta indefinición de lo que debe considerarse una </w:t>
      </w:r>
      <w:r w:rsidR="00952619" w:rsidRPr="00BD02B4">
        <w:rPr>
          <w:rFonts w:eastAsiaTheme="minorHAnsi" w:cs="Arial"/>
          <w:sz w:val="28"/>
          <w:szCs w:val="28"/>
          <w:lang w:eastAsia="en-US"/>
        </w:rPr>
        <w:lastRenderedPageBreak/>
        <w:t>“</w:t>
      </w:r>
      <w:r w:rsidR="00952619" w:rsidRPr="00BD02B4">
        <w:rPr>
          <w:rFonts w:eastAsiaTheme="minorHAnsi" w:cs="Arial"/>
          <w:b/>
          <w:bCs/>
          <w:sz w:val="28"/>
          <w:szCs w:val="28"/>
          <w:lang w:eastAsia="en-US"/>
        </w:rPr>
        <w:t>parte relacionada</w:t>
      </w:r>
      <w:r w:rsidR="00952619" w:rsidRPr="00BD02B4">
        <w:rPr>
          <w:rFonts w:eastAsiaTheme="minorHAnsi" w:cs="Arial"/>
          <w:sz w:val="28"/>
          <w:szCs w:val="28"/>
          <w:lang w:eastAsia="en-US"/>
        </w:rPr>
        <w:t xml:space="preserve">” </w:t>
      </w:r>
      <w:r w:rsidR="00E32464" w:rsidRPr="00BD02B4">
        <w:rPr>
          <w:rFonts w:eastAsiaTheme="minorHAnsi" w:cs="Arial"/>
          <w:sz w:val="28"/>
          <w:szCs w:val="28"/>
          <w:lang w:eastAsia="en-US"/>
        </w:rPr>
        <w:t>para efectos de</w:t>
      </w:r>
      <w:r w:rsidR="007E6820" w:rsidRPr="00BD02B4">
        <w:rPr>
          <w:rFonts w:eastAsiaTheme="minorHAnsi" w:cs="Arial"/>
          <w:sz w:val="28"/>
          <w:szCs w:val="28"/>
          <w:lang w:eastAsia="en-US"/>
        </w:rPr>
        <w:t xml:space="preserve"> </w:t>
      </w:r>
      <w:r w:rsidR="000071A6" w:rsidRPr="00BD02B4">
        <w:rPr>
          <w:rFonts w:eastAsiaTheme="minorHAnsi" w:cs="Arial"/>
          <w:sz w:val="28"/>
          <w:szCs w:val="28"/>
          <w:lang w:eastAsia="en-US"/>
        </w:rPr>
        <w:t>la aplicación del artículo impugnado</w:t>
      </w:r>
      <w:r w:rsidR="00945479" w:rsidRPr="00BD02B4">
        <w:rPr>
          <w:rFonts w:eastAsiaTheme="minorHAnsi" w:cs="Arial"/>
          <w:sz w:val="28"/>
          <w:szCs w:val="28"/>
          <w:lang w:eastAsia="en-US"/>
        </w:rPr>
        <w:t>, res</w:t>
      </w:r>
      <w:r w:rsidR="00C451D3" w:rsidRPr="00BD02B4">
        <w:rPr>
          <w:rFonts w:eastAsiaTheme="minorHAnsi" w:cs="Arial"/>
          <w:sz w:val="28"/>
          <w:szCs w:val="28"/>
          <w:lang w:eastAsia="en-US"/>
        </w:rPr>
        <w:t xml:space="preserve">ulta </w:t>
      </w:r>
      <w:r w:rsidR="00C451D3" w:rsidRPr="00BD02B4">
        <w:rPr>
          <w:rFonts w:eastAsiaTheme="minorHAnsi" w:cs="Arial"/>
          <w:b/>
          <w:bCs/>
          <w:sz w:val="28"/>
          <w:szCs w:val="28"/>
          <w:lang w:eastAsia="en-US"/>
        </w:rPr>
        <w:t>infundado</w:t>
      </w:r>
      <w:r w:rsidR="00C451D3" w:rsidRPr="00BD02B4">
        <w:rPr>
          <w:rFonts w:eastAsiaTheme="minorHAnsi" w:cs="Arial"/>
          <w:sz w:val="28"/>
          <w:szCs w:val="28"/>
          <w:lang w:eastAsia="en-US"/>
        </w:rPr>
        <w:t xml:space="preserve">. </w:t>
      </w:r>
    </w:p>
    <w:p w14:paraId="2B37CD72" w14:textId="77777777" w:rsidR="00206C54" w:rsidRPr="00BD02B4" w:rsidRDefault="00206C54" w:rsidP="00206C54">
      <w:pPr>
        <w:pStyle w:val="corte4fondo"/>
        <w:ind w:right="-232" w:firstLine="0"/>
        <w:contextualSpacing/>
      </w:pPr>
    </w:p>
    <w:p w14:paraId="21FC268C" w14:textId="2583F412" w:rsidR="0094411C" w:rsidRPr="00BD02B4" w:rsidRDefault="00DA3571" w:rsidP="0094411C">
      <w:pPr>
        <w:pStyle w:val="corte4fondo"/>
        <w:numPr>
          <w:ilvl w:val="0"/>
          <w:numId w:val="5"/>
        </w:numPr>
        <w:ind w:left="0" w:right="-232" w:hanging="567"/>
        <w:contextualSpacing/>
        <w:rPr>
          <w:sz w:val="28"/>
          <w:szCs w:val="28"/>
        </w:rPr>
      </w:pPr>
      <w:r w:rsidRPr="00BD02B4">
        <w:rPr>
          <w:sz w:val="28"/>
          <w:szCs w:val="28"/>
        </w:rPr>
        <w:t xml:space="preserve">Ello es así, </w:t>
      </w:r>
      <w:r w:rsidR="00206C54" w:rsidRPr="00BD02B4">
        <w:rPr>
          <w:sz w:val="28"/>
          <w:szCs w:val="28"/>
        </w:rPr>
        <w:t xml:space="preserve">precisamente, porque no era necesario que el legislador previera </w:t>
      </w:r>
      <w:r w:rsidR="00D54156" w:rsidRPr="00BD02B4">
        <w:rPr>
          <w:sz w:val="28"/>
          <w:szCs w:val="28"/>
        </w:rPr>
        <w:t>dicho concepto</w:t>
      </w:r>
      <w:r w:rsidR="00206C54" w:rsidRPr="00BD02B4">
        <w:rPr>
          <w:sz w:val="28"/>
          <w:szCs w:val="28"/>
        </w:rPr>
        <w:t xml:space="preserve"> en la fracción XX</w:t>
      </w:r>
      <w:r w:rsidR="00D01776" w:rsidRPr="00BD02B4">
        <w:rPr>
          <w:sz w:val="28"/>
          <w:szCs w:val="28"/>
        </w:rPr>
        <w:t xml:space="preserve">XII, del artículo 28 cuya constitucionalidad se cuestiona, </w:t>
      </w:r>
      <w:r w:rsidR="001D6E45" w:rsidRPr="00BD02B4">
        <w:rPr>
          <w:sz w:val="28"/>
          <w:szCs w:val="28"/>
        </w:rPr>
        <w:t xml:space="preserve">pues éste no tiene la obligación de </w:t>
      </w:r>
      <w:r w:rsidR="00EA52A3" w:rsidRPr="00BD02B4">
        <w:rPr>
          <w:sz w:val="28"/>
          <w:szCs w:val="28"/>
        </w:rPr>
        <w:t>definir cada locución o vocablo utilizado en las normas y</w:t>
      </w:r>
      <w:r w:rsidR="00D54156" w:rsidRPr="00BD02B4">
        <w:rPr>
          <w:sz w:val="28"/>
          <w:szCs w:val="28"/>
        </w:rPr>
        <w:t xml:space="preserve"> mucho menos de </w:t>
      </w:r>
      <w:r w:rsidR="001B45EA" w:rsidRPr="00BD02B4">
        <w:rPr>
          <w:sz w:val="28"/>
          <w:szCs w:val="28"/>
        </w:rPr>
        <w:t>reiterar una definición que ya se encuentra en</w:t>
      </w:r>
      <w:r w:rsidR="00535F2B" w:rsidRPr="00BD02B4">
        <w:rPr>
          <w:sz w:val="28"/>
          <w:szCs w:val="28"/>
        </w:rPr>
        <w:t xml:space="preserve"> el sistema normativo </w:t>
      </w:r>
      <w:r w:rsidR="003D5FB1" w:rsidRPr="00BD02B4">
        <w:rPr>
          <w:sz w:val="28"/>
          <w:szCs w:val="28"/>
        </w:rPr>
        <w:t>aplicable</w:t>
      </w:r>
      <w:r w:rsidR="00D54156" w:rsidRPr="00BD02B4">
        <w:rPr>
          <w:sz w:val="28"/>
          <w:szCs w:val="28"/>
        </w:rPr>
        <w:t>.</w:t>
      </w:r>
      <w:r w:rsidR="00D86DD3" w:rsidRPr="00BD02B4">
        <w:rPr>
          <w:sz w:val="28"/>
          <w:szCs w:val="28"/>
        </w:rPr>
        <w:t xml:space="preserve"> </w:t>
      </w:r>
    </w:p>
    <w:p w14:paraId="615F8F84" w14:textId="77777777" w:rsidR="0094411C" w:rsidRPr="00BD02B4" w:rsidRDefault="0094411C" w:rsidP="0094411C">
      <w:pPr>
        <w:pStyle w:val="Prrafodelista"/>
        <w:rPr>
          <w:sz w:val="28"/>
          <w:szCs w:val="28"/>
        </w:rPr>
      </w:pPr>
    </w:p>
    <w:p w14:paraId="2EDA7BF6" w14:textId="3EEB412F" w:rsidR="0094411C" w:rsidRPr="00BD02B4" w:rsidRDefault="001B45EA" w:rsidP="0094411C">
      <w:pPr>
        <w:pStyle w:val="corte4fondo"/>
        <w:numPr>
          <w:ilvl w:val="0"/>
          <w:numId w:val="5"/>
        </w:numPr>
        <w:ind w:left="0" w:right="-232" w:hanging="567"/>
        <w:contextualSpacing/>
        <w:rPr>
          <w:sz w:val="28"/>
          <w:szCs w:val="28"/>
        </w:rPr>
      </w:pPr>
      <w:r w:rsidRPr="00BD02B4">
        <w:rPr>
          <w:sz w:val="28"/>
          <w:szCs w:val="28"/>
        </w:rPr>
        <w:t xml:space="preserve">En efecto, como lo </w:t>
      </w:r>
      <w:r w:rsidR="003D5FB1" w:rsidRPr="00BD02B4">
        <w:rPr>
          <w:sz w:val="28"/>
          <w:szCs w:val="28"/>
        </w:rPr>
        <w:t>refiere la propia quejosa tanto el artículo 90, último párrafo</w:t>
      </w:r>
      <w:r w:rsidR="0094411C" w:rsidRPr="00BD02B4">
        <w:rPr>
          <w:sz w:val="28"/>
          <w:szCs w:val="28"/>
        </w:rPr>
        <w:t xml:space="preserve">, como el diverso ordinal 179, quinto párrafo, ambos de la Ley del Impuesto Sobre la Renta prevén lo que se considera parte relacionada, y dichas definiciones no se contraponen entre sí, como se advierte: </w:t>
      </w:r>
    </w:p>
    <w:p w14:paraId="079E2986" w14:textId="77777777" w:rsidR="0094411C" w:rsidRPr="00BD02B4" w:rsidRDefault="0094411C" w:rsidP="0094411C">
      <w:pPr>
        <w:pStyle w:val="Prrafodelista"/>
        <w:rPr>
          <w:sz w:val="28"/>
          <w:szCs w:val="28"/>
        </w:rPr>
      </w:pPr>
    </w:p>
    <w:p w14:paraId="53192B47" w14:textId="5839B80A" w:rsidR="0094411C" w:rsidRPr="00BD02B4" w:rsidRDefault="00C15199" w:rsidP="003934EC">
      <w:pPr>
        <w:pStyle w:val="corte4fondo"/>
        <w:spacing w:line="240" w:lineRule="auto"/>
        <w:ind w:left="567" w:right="-232" w:firstLine="0"/>
        <w:contextualSpacing/>
        <w:rPr>
          <w:sz w:val="26"/>
          <w:szCs w:val="26"/>
        </w:rPr>
      </w:pPr>
      <w:r w:rsidRPr="00BD02B4">
        <w:rPr>
          <w:sz w:val="26"/>
          <w:szCs w:val="26"/>
        </w:rPr>
        <w:t>“</w:t>
      </w:r>
      <w:r w:rsidR="00FB6E6B" w:rsidRPr="00BD02B4">
        <w:rPr>
          <w:b/>
          <w:bCs/>
          <w:sz w:val="26"/>
          <w:szCs w:val="26"/>
        </w:rPr>
        <w:t xml:space="preserve">Artículo 90. </w:t>
      </w:r>
      <w:r w:rsidR="00FB6E6B" w:rsidRPr="00BD02B4">
        <w:rPr>
          <w:sz w:val="26"/>
          <w:szCs w:val="26"/>
        </w:rPr>
        <w:t xml:space="preserve">Están obligadas al pago del impuesto establecido en este Título, </w:t>
      </w:r>
      <w:r w:rsidR="00FB6E6B" w:rsidRPr="00BD02B4">
        <w:rPr>
          <w:b/>
          <w:bCs/>
          <w:sz w:val="26"/>
          <w:szCs w:val="26"/>
        </w:rPr>
        <w:t xml:space="preserve">las personas físicas </w:t>
      </w:r>
      <w:r w:rsidR="00FB6E6B" w:rsidRPr="00BD02B4">
        <w:rPr>
          <w:sz w:val="26"/>
          <w:szCs w:val="26"/>
        </w:rPr>
        <w:t>residentes en México que obtengan ingresos en efectivo, en bienes, devengado cuando en los términos de este Título señale, en crédito, en servicios en los casos que señale esta Ley, o de cualquier otro tipo. También están obligadas al pago del impuesto, las personas físicas residentes en el extranjero que realicen actividades empresariales o presten servicios personales independientes, en el país, a través de un establecimiento permanente, por los ingresos atribuibles a éste.</w:t>
      </w:r>
    </w:p>
    <w:p w14:paraId="12029A43" w14:textId="7EE74FEF" w:rsidR="00FB6E6B" w:rsidRPr="00BD02B4" w:rsidRDefault="00FB6E6B" w:rsidP="003934EC">
      <w:pPr>
        <w:pStyle w:val="corte4fondo"/>
        <w:spacing w:line="240" w:lineRule="auto"/>
        <w:ind w:left="567" w:right="-232" w:firstLine="0"/>
        <w:contextualSpacing/>
        <w:rPr>
          <w:sz w:val="26"/>
          <w:szCs w:val="26"/>
        </w:rPr>
      </w:pPr>
      <w:r w:rsidRPr="00BD02B4">
        <w:rPr>
          <w:sz w:val="26"/>
          <w:szCs w:val="26"/>
        </w:rPr>
        <w:t>(…)</w:t>
      </w:r>
    </w:p>
    <w:p w14:paraId="7DC48148" w14:textId="77777777" w:rsidR="00C51D2D" w:rsidRPr="00BD02B4" w:rsidRDefault="003934EC" w:rsidP="00C51D2D">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en el capital de dichas personas,</w:t>
      </w:r>
      <w:r w:rsidRPr="00BD02B4">
        <w:rPr>
          <w:sz w:val="26"/>
          <w:szCs w:val="26"/>
        </w:rPr>
        <w:t xml:space="preserve"> o cuando exista vinculación entre ellas de acuerdo con la legislación aduanera.</w:t>
      </w:r>
      <w:r w:rsidR="00C15199" w:rsidRPr="00BD02B4">
        <w:rPr>
          <w:sz w:val="26"/>
          <w:szCs w:val="26"/>
        </w:rPr>
        <w:t>”</w:t>
      </w:r>
    </w:p>
    <w:p w14:paraId="0BD12B24" w14:textId="77777777" w:rsidR="00C51D2D" w:rsidRPr="00BD02B4" w:rsidRDefault="00C51D2D" w:rsidP="00C51D2D">
      <w:pPr>
        <w:pStyle w:val="corte4fondo"/>
        <w:spacing w:line="240" w:lineRule="auto"/>
        <w:ind w:left="567" w:right="-232" w:firstLine="0"/>
        <w:contextualSpacing/>
        <w:rPr>
          <w:sz w:val="26"/>
          <w:szCs w:val="26"/>
        </w:rPr>
      </w:pPr>
    </w:p>
    <w:p w14:paraId="409E83F9" w14:textId="434453C5"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r w:rsidRPr="00BD02B4">
        <w:rPr>
          <w:b/>
          <w:bCs/>
          <w:sz w:val="26"/>
          <w:szCs w:val="26"/>
        </w:rPr>
        <w:t xml:space="preserve">Artículo 179. </w:t>
      </w:r>
      <w:r w:rsidRPr="00BD02B4">
        <w:rPr>
          <w:sz w:val="26"/>
          <w:szCs w:val="26"/>
        </w:rPr>
        <w:t>Los contribuyentes del Título II de esta Ley, que celebren operaciones con partes relacionadas residentes en el extranjero están obligados, para efectos de esta Ley, a determinar sus ingresos acumulables y deducciones autorizadas, considerando para esas operaciones los precios y montos de contraprestaciones que hubieran utilizado con o entre partes independientes en operaciones comparables.</w:t>
      </w:r>
    </w:p>
    <w:p w14:paraId="2F4E855C" w14:textId="354EBD91"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p>
    <w:p w14:paraId="55ED4F82" w14:textId="77777777" w:rsidR="002771B2" w:rsidRPr="00BD02B4" w:rsidRDefault="002771B2" w:rsidP="002771B2">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w:t>
      </w:r>
      <w:r w:rsidRPr="00BD02B4">
        <w:rPr>
          <w:sz w:val="26"/>
          <w:szCs w:val="26"/>
        </w:rPr>
        <w:t xml:space="preserve"> Tratándose de asociaciones en participación, se consideran como partes relacionadas </w:t>
      </w:r>
      <w:r w:rsidRPr="00BD02B4">
        <w:rPr>
          <w:sz w:val="26"/>
          <w:szCs w:val="26"/>
        </w:rPr>
        <w:lastRenderedPageBreak/>
        <w:t>sus integrantes, así como las personas que conforme a este párrafo se consideren partes relacionadas de dicho integrante.</w:t>
      </w:r>
    </w:p>
    <w:p w14:paraId="0C0FFEDA" w14:textId="77777777" w:rsidR="002771B2" w:rsidRPr="00BD02B4" w:rsidRDefault="002771B2" w:rsidP="002771B2">
      <w:pPr>
        <w:pStyle w:val="corte4fondo"/>
        <w:spacing w:line="240" w:lineRule="auto"/>
        <w:ind w:left="567" w:right="-232" w:firstLine="0"/>
        <w:contextualSpacing/>
        <w:rPr>
          <w:sz w:val="26"/>
          <w:szCs w:val="26"/>
        </w:rPr>
      </w:pPr>
    </w:p>
    <w:p w14:paraId="5CB0B5C1"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Se consideran partes relacionadas de un establecimiento permanente, la casa matriz u otros establecimientos permanentes de la misma, así como las personas señaladas en el párrafo anterior y sus establecimientos permanentes.</w:t>
      </w:r>
    </w:p>
    <w:p w14:paraId="02398EAD" w14:textId="77777777" w:rsidR="002771B2" w:rsidRPr="00BD02B4" w:rsidRDefault="002771B2" w:rsidP="002771B2">
      <w:pPr>
        <w:pStyle w:val="corte4fondo"/>
        <w:spacing w:line="240" w:lineRule="auto"/>
        <w:ind w:left="567" w:right="-232" w:firstLine="0"/>
        <w:contextualSpacing/>
        <w:rPr>
          <w:sz w:val="26"/>
          <w:szCs w:val="26"/>
        </w:rPr>
      </w:pPr>
    </w:p>
    <w:p w14:paraId="752322FD"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 xml:space="preserve">Salvo prueba en contrario, se presume que las operaciones entre residentes en México y sociedades o entidades sujetas a regímenes fiscales </w:t>
      </w:r>
      <w:proofErr w:type="gramStart"/>
      <w:r w:rsidRPr="00BD02B4">
        <w:rPr>
          <w:sz w:val="26"/>
          <w:szCs w:val="26"/>
        </w:rPr>
        <w:t>preferentes,</w:t>
      </w:r>
      <w:proofErr w:type="gramEnd"/>
      <w:r w:rsidRPr="00BD02B4">
        <w:rPr>
          <w:sz w:val="26"/>
          <w:szCs w:val="26"/>
        </w:rPr>
        <w:t xml:space="preserve"> son entre partes relacionadas en las que los precios y montos de las contraprestaciones no se pactan conforme a los que hubieran utilizado partes independientes en operaciones comparables.</w:t>
      </w:r>
    </w:p>
    <w:p w14:paraId="60024131" w14:textId="77777777" w:rsidR="002771B2" w:rsidRPr="00BD02B4" w:rsidRDefault="002771B2" w:rsidP="002771B2">
      <w:pPr>
        <w:pStyle w:val="corte4fondo"/>
        <w:spacing w:line="240" w:lineRule="auto"/>
        <w:ind w:left="567" w:right="-232" w:firstLine="0"/>
        <w:contextualSpacing/>
        <w:rPr>
          <w:sz w:val="26"/>
          <w:szCs w:val="26"/>
        </w:rPr>
      </w:pPr>
    </w:p>
    <w:p w14:paraId="518BDA54" w14:textId="4D971765"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Para la interpretación de lo dispuesto en este Capítulo, serán aplicables las Guías sobre Precios de Transferencia para las Empresas Multinacionales y las Administraciones Fiscales, aprobadas por el Consejo de la Organización para la Cooperación y el Desarrollo Económico en 1995, o aquéllas que las sustituyan, en la medida en que las mismas sean congruentes con las disposiciones de esta Ley y de los tratados celebrados por México</w:t>
      </w:r>
      <w:r w:rsidR="000E1816" w:rsidRPr="00BD02B4">
        <w:rPr>
          <w:sz w:val="26"/>
          <w:szCs w:val="26"/>
        </w:rPr>
        <w:t>”</w:t>
      </w:r>
      <w:r w:rsidRPr="00BD02B4">
        <w:rPr>
          <w:sz w:val="26"/>
          <w:szCs w:val="26"/>
        </w:rPr>
        <w:t>.</w:t>
      </w:r>
    </w:p>
    <w:p w14:paraId="28CB46F5" w14:textId="77777777" w:rsidR="00C51D2D" w:rsidRPr="00BD02B4" w:rsidRDefault="00C51D2D" w:rsidP="00987741">
      <w:pPr>
        <w:pStyle w:val="corte4fondo"/>
        <w:ind w:left="567" w:right="-232" w:firstLine="0"/>
        <w:contextualSpacing/>
        <w:rPr>
          <w:sz w:val="26"/>
          <w:szCs w:val="26"/>
        </w:rPr>
      </w:pPr>
    </w:p>
    <w:p w14:paraId="51E1442C" w14:textId="0B5E09B0" w:rsidR="001B45EA" w:rsidRPr="00BD02B4" w:rsidRDefault="00916108" w:rsidP="00987741">
      <w:pPr>
        <w:pStyle w:val="corte4fondo"/>
        <w:numPr>
          <w:ilvl w:val="0"/>
          <w:numId w:val="5"/>
        </w:numPr>
        <w:ind w:left="0" w:right="-232" w:hanging="567"/>
        <w:contextualSpacing/>
        <w:rPr>
          <w:sz w:val="28"/>
          <w:szCs w:val="28"/>
        </w:rPr>
      </w:pPr>
      <w:r w:rsidRPr="00BD02B4">
        <w:rPr>
          <w:sz w:val="28"/>
          <w:szCs w:val="28"/>
        </w:rPr>
        <w:t xml:space="preserve">El artículo 90, de la Ley de la materia, se encuentra ubicado en el </w:t>
      </w:r>
      <w:r w:rsidRPr="00BD02B4">
        <w:rPr>
          <w:b/>
          <w:bCs/>
          <w:sz w:val="28"/>
          <w:szCs w:val="28"/>
        </w:rPr>
        <w:t>Título IV, de las “Personas físicas”</w:t>
      </w:r>
      <w:r w:rsidRPr="00BD02B4">
        <w:rPr>
          <w:sz w:val="28"/>
          <w:szCs w:val="28"/>
        </w:rPr>
        <w:t xml:space="preserve">, en tanto que el diverso 179, </w:t>
      </w:r>
      <w:r w:rsidR="00596E04" w:rsidRPr="00BD02B4">
        <w:rPr>
          <w:sz w:val="28"/>
          <w:szCs w:val="28"/>
        </w:rPr>
        <w:t xml:space="preserve">forma parte del </w:t>
      </w:r>
      <w:r w:rsidR="00596E04" w:rsidRPr="00BD02B4">
        <w:rPr>
          <w:b/>
          <w:bCs/>
          <w:sz w:val="28"/>
          <w:szCs w:val="28"/>
        </w:rPr>
        <w:t xml:space="preserve">Título VI, de las “Entidades extranjeras controladas sujetas a regímenes fiscales preferentes y de las empresas </w:t>
      </w:r>
      <w:r w:rsidR="00D05C23" w:rsidRPr="00BD02B4">
        <w:rPr>
          <w:b/>
          <w:bCs/>
          <w:sz w:val="28"/>
          <w:szCs w:val="28"/>
        </w:rPr>
        <w:t>multinacionales</w:t>
      </w:r>
      <w:r w:rsidR="000D4AD8" w:rsidRPr="00BD02B4">
        <w:rPr>
          <w:b/>
          <w:bCs/>
          <w:sz w:val="28"/>
          <w:szCs w:val="28"/>
        </w:rPr>
        <w:t>.</w:t>
      </w:r>
      <w:r w:rsidR="00D05C23" w:rsidRPr="00BD02B4">
        <w:rPr>
          <w:sz w:val="28"/>
          <w:szCs w:val="28"/>
        </w:rPr>
        <w:t xml:space="preserve"> </w:t>
      </w:r>
      <w:r w:rsidR="00D05C23" w:rsidRPr="00BD02B4">
        <w:rPr>
          <w:i/>
          <w:iCs/>
          <w:sz w:val="28"/>
          <w:szCs w:val="28"/>
        </w:rPr>
        <w:t>Capítulo II. De las empresas multinacionales y de las operaciones celebradas entre partes relacionadas</w:t>
      </w:r>
      <w:r w:rsidR="00D05C23" w:rsidRPr="00BD02B4">
        <w:rPr>
          <w:sz w:val="28"/>
          <w:szCs w:val="28"/>
        </w:rPr>
        <w:t xml:space="preserve">”; </w:t>
      </w:r>
      <w:r w:rsidR="004745E7" w:rsidRPr="00BD02B4">
        <w:rPr>
          <w:sz w:val="28"/>
          <w:szCs w:val="28"/>
        </w:rPr>
        <w:t>de ahí que</w:t>
      </w:r>
      <w:r w:rsidR="004153AB" w:rsidRPr="00BD02B4">
        <w:rPr>
          <w:sz w:val="28"/>
          <w:szCs w:val="28"/>
        </w:rPr>
        <w:t>,</w:t>
      </w:r>
      <w:r w:rsidR="004745E7" w:rsidRPr="00BD02B4">
        <w:rPr>
          <w:sz w:val="28"/>
          <w:szCs w:val="28"/>
        </w:rPr>
        <w:t xml:space="preserve"> </w:t>
      </w:r>
      <w:r w:rsidR="00D4585A" w:rsidRPr="00BD02B4">
        <w:rPr>
          <w:sz w:val="28"/>
          <w:szCs w:val="28"/>
        </w:rPr>
        <w:t xml:space="preserve">es clara </w:t>
      </w:r>
      <w:r w:rsidR="004745E7" w:rsidRPr="00BD02B4">
        <w:rPr>
          <w:sz w:val="28"/>
          <w:szCs w:val="28"/>
        </w:rPr>
        <w:t>la normatividad que aplica a cada contribuyente pues depende de su carácter como persona física o moral</w:t>
      </w:r>
      <w:r w:rsidR="00530B12" w:rsidRPr="00BD02B4">
        <w:rPr>
          <w:sz w:val="28"/>
          <w:szCs w:val="28"/>
        </w:rPr>
        <w:t xml:space="preserve"> y </w:t>
      </w:r>
      <w:r w:rsidR="009254D7" w:rsidRPr="00BD02B4">
        <w:rPr>
          <w:sz w:val="28"/>
          <w:szCs w:val="28"/>
        </w:rPr>
        <w:t>también de</w:t>
      </w:r>
      <w:r w:rsidR="00530B12" w:rsidRPr="00BD02B4">
        <w:rPr>
          <w:sz w:val="28"/>
          <w:szCs w:val="28"/>
        </w:rPr>
        <w:t xml:space="preserve"> sus otras características como la nacionalidad o el tipo de empresa que es. Como en la especie</w:t>
      </w:r>
      <w:r w:rsidR="009254D7" w:rsidRPr="00BD02B4">
        <w:rPr>
          <w:sz w:val="28"/>
          <w:szCs w:val="28"/>
        </w:rPr>
        <w:t>,</w:t>
      </w:r>
      <w:r w:rsidR="00530B12" w:rsidRPr="00BD02B4">
        <w:rPr>
          <w:sz w:val="28"/>
          <w:szCs w:val="28"/>
        </w:rPr>
        <w:t xml:space="preserve"> desde luego no debe atender a</w:t>
      </w:r>
      <w:r w:rsidR="005E16F2" w:rsidRPr="00BD02B4">
        <w:rPr>
          <w:sz w:val="28"/>
          <w:szCs w:val="28"/>
        </w:rPr>
        <w:t xml:space="preserve">l precepto dirigido a las personas físicas, pues no es tal. </w:t>
      </w:r>
    </w:p>
    <w:p w14:paraId="5CABB449" w14:textId="77777777" w:rsidR="00530B12" w:rsidRPr="00BD02B4" w:rsidRDefault="00530B12" w:rsidP="00987741">
      <w:pPr>
        <w:pStyle w:val="corte4fondo"/>
        <w:ind w:right="-232" w:firstLine="0"/>
        <w:contextualSpacing/>
        <w:rPr>
          <w:sz w:val="28"/>
          <w:szCs w:val="28"/>
        </w:rPr>
      </w:pPr>
    </w:p>
    <w:p w14:paraId="0CC57A0C" w14:textId="01BBA67C" w:rsidR="00530B12" w:rsidRPr="00BD02B4" w:rsidRDefault="00530B12" w:rsidP="00987741">
      <w:pPr>
        <w:pStyle w:val="corte4fondo"/>
        <w:numPr>
          <w:ilvl w:val="0"/>
          <w:numId w:val="5"/>
        </w:numPr>
        <w:ind w:left="0" w:right="-232" w:hanging="567"/>
        <w:contextualSpacing/>
        <w:rPr>
          <w:sz w:val="28"/>
          <w:szCs w:val="28"/>
        </w:rPr>
      </w:pPr>
      <w:r w:rsidRPr="00BD02B4">
        <w:rPr>
          <w:sz w:val="28"/>
          <w:szCs w:val="28"/>
        </w:rPr>
        <w:t>Ahora bien, al margen de</w:t>
      </w:r>
      <w:r w:rsidR="005E16F2" w:rsidRPr="00BD02B4">
        <w:rPr>
          <w:sz w:val="28"/>
          <w:szCs w:val="28"/>
        </w:rPr>
        <w:t xml:space="preserve">l Título y Capítulo en que se ubiquen, </w:t>
      </w:r>
      <w:r w:rsidR="00330435" w:rsidRPr="00BD02B4">
        <w:rPr>
          <w:sz w:val="28"/>
          <w:szCs w:val="28"/>
        </w:rPr>
        <w:t xml:space="preserve">como puede advertirse, </w:t>
      </w:r>
      <w:r w:rsidR="00D16A85" w:rsidRPr="00BD02B4">
        <w:rPr>
          <w:sz w:val="28"/>
          <w:szCs w:val="28"/>
        </w:rPr>
        <w:t>la ley no deja lugar a dudas de lo que debe entenderse por “</w:t>
      </w:r>
      <w:r w:rsidR="00D16A85" w:rsidRPr="00BD02B4">
        <w:rPr>
          <w:i/>
          <w:iCs/>
          <w:sz w:val="28"/>
          <w:szCs w:val="28"/>
        </w:rPr>
        <w:t>partes relacionadas</w:t>
      </w:r>
      <w:r w:rsidR="00D16A85" w:rsidRPr="00BD02B4">
        <w:rPr>
          <w:sz w:val="28"/>
          <w:szCs w:val="28"/>
        </w:rPr>
        <w:t xml:space="preserve">”, pues ambos artículos </w:t>
      </w:r>
      <w:r w:rsidR="00330435" w:rsidRPr="00BD02B4">
        <w:rPr>
          <w:sz w:val="28"/>
          <w:szCs w:val="28"/>
        </w:rPr>
        <w:t>prevén</w:t>
      </w:r>
      <w:r w:rsidR="00D16A85" w:rsidRPr="00BD02B4">
        <w:rPr>
          <w:sz w:val="28"/>
          <w:szCs w:val="28"/>
        </w:rPr>
        <w:t xml:space="preserve"> </w:t>
      </w:r>
      <w:r w:rsidR="00330435" w:rsidRPr="00BD02B4">
        <w:rPr>
          <w:sz w:val="28"/>
          <w:szCs w:val="28"/>
        </w:rPr>
        <w:t xml:space="preserve">que </w:t>
      </w:r>
      <w:r w:rsidR="002A1663" w:rsidRPr="00BD02B4">
        <w:rPr>
          <w:sz w:val="28"/>
          <w:szCs w:val="28"/>
        </w:rPr>
        <w:t>“</w:t>
      </w:r>
      <w:r w:rsidR="00330435" w:rsidRPr="00BD02B4">
        <w:rPr>
          <w:b/>
          <w:bCs/>
          <w:sz w:val="28"/>
          <w:szCs w:val="28"/>
        </w:rPr>
        <w:t xml:space="preserve">dos o más personas son partes relacionadas, cuando una participa de </w:t>
      </w:r>
      <w:r w:rsidR="00330435" w:rsidRPr="00BD02B4">
        <w:rPr>
          <w:b/>
          <w:bCs/>
          <w:sz w:val="28"/>
          <w:szCs w:val="28"/>
          <w:u w:val="single"/>
        </w:rPr>
        <w:t>manera directa o indirecta en la administración, control o capital de la otra</w:t>
      </w:r>
      <w:r w:rsidR="00330435" w:rsidRPr="00BD02B4">
        <w:rPr>
          <w:sz w:val="28"/>
          <w:szCs w:val="28"/>
        </w:rPr>
        <w:t xml:space="preserve">, o </w:t>
      </w:r>
      <w:r w:rsidR="00330435" w:rsidRPr="00BD02B4">
        <w:rPr>
          <w:b/>
          <w:bCs/>
          <w:sz w:val="28"/>
          <w:szCs w:val="28"/>
        </w:rPr>
        <w:t xml:space="preserve">cuando una persona o grupo de personas participe directa o </w:t>
      </w:r>
      <w:r w:rsidR="00330435" w:rsidRPr="00BD02B4">
        <w:rPr>
          <w:b/>
          <w:bCs/>
          <w:sz w:val="28"/>
          <w:szCs w:val="28"/>
        </w:rPr>
        <w:lastRenderedPageBreak/>
        <w:t>indirectamente en la administración, control o capital de dichas personas</w:t>
      </w:r>
      <w:r w:rsidR="002A1663" w:rsidRPr="00BD02B4">
        <w:rPr>
          <w:b/>
          <w:bCs/>
          <w:sz w:val="28"/>
          <w:szCs w:val="28"/>
        </w:rPr>
        <w:t>”</w:t>
      </w:r>
      <w:r w:rsidR="00792BF3" w:rsidRPr="00BD02B4">
        <w:rPr>
          <w:sz w:val="28"/>
          <w:szCs w:val="28"/>
        </w:rPr>
        <w:t xml:space="preserve">, sin que pase desapercibido </w:t>
      </w:r>
      <w:r w:rsidR="004215B9" w:rsidRPr="00BD02B4">
        <w:rPr>
          <w:sz w:val="28"/>
          <w:szCs w:val="28"/>
        </w:rPr>
        <w:t xml:space="preserve">que las normas </w:t>
      </w:r>
      <w:r w:rsidR="006A57BA" w:rsidRPr="00BD02B4">
        <w:rPr>
          <w:sz w:val="28"/>
          <w:szCs w:val="28"/>
        </w:rPr>
        <w:t xml:space="preserve">establecen supuestos específicos </w:t>
      </w:r>
      <w:r w:rsidR="002A1663" w:rsidRPr="00BD02B4">
        <w:rPr>
          <w:sz w:val="28"/>
          <w:szCs w:val="28"/>
        </w:rPr>
        <w:t>que también se cons</w:t>
      </w:r>
      <w:r w:rsidR="002E6612" w:rsidRPr="00BD02B4">
        <w:rPr>
          <w:sz w:val="28"/>
          <w:szCs w:val="28"/>
        </w:rPr>
        <w:t xml:space="preserve">ideran partes relacionadas, como </w:t>
      </w:r>
      <w:r w:rsidR="000F2664" w:rsidRPr="00BD02B4">
        <w:rPr>
          <w:sz w:val="28"/>
          <w:szCs w:val="28"/>
        </w:rPr>
        <w:t xml:space="preserve">“cuando exista vinculación entre ellas </w:t>
      </w:r>
      <w:r w:rsidR="007B0C8F" w:rsidRPr="00BD02B4">
        <w:rPr>
          <w:sz w:val="28"/>
          <w:szCs w:val="28"/>
        </w:rPr>
        <w:t>de acuerdo con la legislación aduanera”, “</w:t>
      </w:r>
      <w:r w:rsidR="00352060" w:rsidRPr="00BD02B4">
        <w:rPr>
          <w:sz w:val="28"/>
          <w:szCs w:val="28"/>
        </w:rPr>
        <w:t xml:space="preserve">los integrantes de una asociación en participación”, entre otros. </w:t>
      </w:r>
    </w:p>
    <w:p w14:paraId="75C54C56" w14:textId="77777777" w:rsidR="00352060" w:rsidRPr="00BD02B4" w:rsidRDefault="00352060" w:rsidP="00352060">
      <w:pPr>
        <w:pStyle w:val="Prrafodelista"/>
        <w:rPr>
          <w:sz w:val="28"/>
          <w:szCs w:val="28"/>
        </w:rPr>
      </w:pPr>
    </w:p>
    <w:p w14:paraId="36D3C8A6" w14:textId="63F45495" w:rsidR="00352060" w:rsidRPr="00BD02B4" w:rsidRDefault="00352060" w:rsidP="00987741">
      <w:pPr>
        <w:pStyle w:val="corte4fondo"/>
        <w:numPr>
          <w:ilvl w:val="0"/>
          <w:numId w:val="5"/>
        </w:numPr>
        <w:ind w:left="0" w:right="-232" w:hanging="567"/>
        <w:contextualSpacing/>
        <w:rPr>
          <w:sz w:val="28"/>
          <w:szCs w:val="28"/>
        </w:rPr>
      </w:pPr>
      <w:r w:rsidRPr="00BD02B4">
        <w:rPr>
          <w:sz w:val="28"/>
          <w:szCs w:val="28"/>
        </w:rPr>
        <w:t>Luego entonces</w:t>
      </w:r>
      <w:r w:rsidR="001E3447" w:rsidRPr="00BD02B4">
        <w:rPr>
          <w:sz w:val="28"/>
          <w:szCs w:val="28"/>
        </w:rPr>
        <w:t>,</w:t>
      </w:r>
      <w:r w:rsidRPr="00BD02B4">
        <w:rPr>
          <w:sz w:val="28"/>
          <w:szCs w:val="28"/>
        </w:rPr>
        <w:t xml:space="preserve"> no</w:t>
      </w:r>
      <w:r w:rsidR="001E3447" w:rsidRPr="00BD02B4">
        <w:rPr>
          <w:sz w:val="28"/>
          <w:szCs w:val="28"/>
        </w:rPr>
        <w:t xml:space="preserve"> existe incertidumbre </w:t>
      </w:r>
      <w:r w:rsidR="00F6623A" w:rsidRPr="00BD02B4">
        <w:rPr>
          <w:sz w:val="28"/>
          <w:szCs w:val="28"/>
        </w:rPr>
        <w:t xml:space="preserve">respecto de dicho concepto, ni tampoco se viola el principio de legalidad tributaria </w:t>
      </w:r>
      <w:r w:rsidR="00AF7224" w:rsidRPr="00BD02B4">
        <w:rPr>
          <w:sz w:val="28"/>
          <w:szCs w:val="28"/>
        </w:rPr>
        <w:t>por no preverse en la norma impugnada</w:t>
      </w:r>
      <w:r w:rsidR="00A37CAD" w:rsidRPr="00BD02B4">
        <w:rPr>
          <w:sz w:val="28"/>
          <w:szCs w:val="28"/>
        </w:rPr>
        <w:t xml:space="preserve"> </w:t>
      </w:r>
      <w:r w:rsidR="00C91CE6" w:rsidRPr="00BD02B4">
        <w:rPr>
          <w:sz w:val="28"/>
          <w:szCs w:val="28"/>
        </w:rPr>
        <w:t>su descripción, toda vez que</w:t>
      </w:r>
      <w:r w:rsidR="009741AA" w:rsidRPr="00BD02B4">
        <w:rPr>
          <w:sz w:val="28"/>
          <w:szCs w:val="28"/>
        </w:rPr>
        <w:t>,</w:t>
      </w:r>
      <w:r w:rsidR="00C91CE6" w:rsidRPr="00BD02B4">
        <w:rPr>
          <w:sz w:val="28"/>
          <w:szCs w:val="28"/>
        </w:rPr>
        <w:t xml:space="preserve"> de una interpretación sistemática de la ley de </w:t>
      </w:r>
      <w:r w:rsidR="00762D0F" w:rsidRPr="00BD02B4">
        <w:rPr>
          <w:sz w:val="28"/>
          <w:szCs w:val="28"/>
        </w:rPr>
        <w:t xml:space="preserve">la materia, puede </w:t>
      </w:r>
      <w:r w:rsidR="00B66E85" w:rsidRPr="00BD02B4">
        <w:rPr>
          <w:sz w:val="28"/>
          <w:szCs w:val="28"/>
        </w:rPr>
        <w:t xml:space="preserve">advertirse con claridad quienes son “partes relacionadas” para </w:t>
      </w:r>
      <w:r w:rsidR="00001139" w:rsidRPr="00BD02B4">
        <w:rPr>
          <w:sz w:val="28"/>
          <w:szCs w:val="28"/>
        </w:rPr>
        <w:t>todo</w:t>
      </w:r>
      <w:r w:rsidR="00B66E85" w:rsidRPr="00BD02B4">
        <w:rPr>
          <w:sz w:val="28"/>
          <w:szCs w:val="28"/>
        </w:rPr>
        <w:t>s</w:t>
      </w:r>
      <w:r w:rsidR="00001139" w:rsidRPr="00BD02B4">
        <w:rPr>
          <w:sz w:val="28"/>
          <w:szCs w:val="28"/>
        </w:rPr>
        <w:t xml:space="preserve"> los</w:t>
      </w:r>
      <w:r w:rsidR="00B66E85" w:rsidRPr="00BD02B4">
        <w:rPr>
          <w:sz w:val="28"/>
          <w:szCs w:val="28"/>
        </w:rPr>
        <w:t xml:space="preserve"> efectos que en la misma legislación se prevean. </w:t>
      </w:r>
      <w:r w:rsidRPr="00BD02B4">
        <w:rPr>
          <w:sz w:val="28"/>
          <w:szCs w:val="28"/>
        </w:rPr>
        <w:t xml:space="preserve"> </w:t>
      </w:r>
    </w:p>
    <w:p w14:paraId="6FE57688" w14:textId="77777777" w:rsidR="00D01776" w:rsidRPr="00BD02B4" w:rsidRDefault="00D01776" w:rsidP="00987741">
      <w:pPr>
        <w:pStyle w:val="Prrafodelista"/>
        <w:spacing w:line="360" w:lineRule="auto"/>
        <w:rPr>
          <w:sz w:val="28"/>
          <w:szCs w:val="28"/>
        </w:rPr>
      </w:pPr>
    </w:p>
    <w:p w14:paraId="086F8B64" w14:textId="5C48D198" w:rsidR="0073138B" w:rsidRPr="00BD02B4" w:rsidRDefault="00744160" w:rsidP="00987741">
      <w:pPr>
        <w:pStyle w:val="corte4fondo"/>
        <w:numPr>
          <w:ilvl w:val="0"/>
          <w:numId w:val="5"/>
        </w:numPr>
        <w:ind w:left="0" w:right="-232" w:hanging="567"/>
        <w:contextualSpacing/>
        <w:rPr>
          <w:rFonts w:cs="Arial"/>
          <w:bCs/>
          <w:iCs/>
          <w:sz w:val="28"/>
          <w:szCs w:val="28"/>
        </w:rPr>
      </w:pPr>
      <w:r w:rsidRPr="00BD02B4">
        <w:rPr>
          <w:rFonts w:cs="Arial"/>
          <w:bCs/>
          <w:sz w:val="28"/>
          <w:szCs w:val="28"/>
        </w:rPr>
        <w:t xml:space="preserve">Adicionalmente, </w:t>
      </w:r>
      <w:r w:rsidR="00F327E0" w:rsidRPr="00BD02B4">
        <w:rPr>
          <w:rFonts w:cs="Arial"/>
          <w:bCs/>
          <w:sz w:val="28"/>
          <w:szCs w:val="28"/>
        </w:rPr>
        <w:t xml:space="preserve">en su </w:t>
      </w:r>
      <w:r w:rsidR="00F327E0" w:rsidRPr="00BD02B4">
        <w:rPr>
          <w:rFonts w:cs="Arial"/>
          <w:bCs/>
          <w:iCs/>
          <w:sz w:val="28"/>
          <w:szCs w:val="28"/>
        </w:rPr>
        <w:t>primer</w:t>
      </w:r>
      <w:r w:rsidR="00F327E0" w:rsidRPr="00BD02B4">
        <w:rPr>
          <w:rFonts w:cs="Arial"/>
          <w:bCs/>
          <w:sz w:val="28"/>
          <w:szCs w:val="28"/>
        </w:rPr>
        <w:t xml:space="preserve"> concepto de violación</w:t>
      </w:r>
      <w:r w:rsidR="00A95E3C" w:rsidRPr="00BD02B4">
        <w:rPr>
          <w:rFonts w:cs="Arial"/>
          <w:bCs/>
          <w:sz w:val="28"/>
          <w:szCs w:val="28"/>
        </w:rPr>
        <w:t>,</w:t>
      </w:r>
      <w:r w:rsidR="00F327E0" w:rsidRPr="00BD02B4">
        <w:rPr>
          <w:rFonts w:cs="Arial"/>
          <w:bCs/>
          <w:sz w:val="28"/>
          <w:szCs w:val="28"/>
        </w:rPr>
        <w:t xml:space="preserve"> </w:t>
      </w:r>
      <w:r w:rsidR="00A95E3C" w:rsidRPr="00BD02B4">
        <w:rPr>
          <w:rFonts w:cs="Arial"/>
          <w:bCs/>
          <w:sz w:val="28"/>
          <w:szCs w:val="28"/>
        </w:rPr>
        <w:t>la</w:t>
      </w:r>
      <w:r w:rsidR="00F327E0" w:rsidRPr="00BD02B4">
        <w:rPr>
          <w:rFonts w:cs="Arial"/>
          <w:bCs/>
          <w:sz w:val="28"/>
          <w:szCs w:val="28"/>
        </w:rPr>
        <w:t xml:space="preserve"> </w:t>
      </w:r>
      <w:r w:rsidR="00B77FC4" w:rsidRPr="00BD02B4">
        <w:rPr>
          <w:rFonts w:cs="Arial"/>
          <w:bCs/>
          <w:sz w:val="28"/>
          <w:szCs w:val="28"/>
        </w:rPr>
        <w:t xml:space="preserve">quejosa sostiene que </w:t>
      </w:r>
      <w:r w:rsidR="0073138B" w:rsidRPr="00BD02B4">
        <w:rPr>
          <w:rFonts w:cs="Arial"/>
          <w:bCs/>
          <w:iCs/>
          <w:sz w:val="28"/>
          <w:szCs w:val="28"/>
        </w:rPr>
        <w:t xml:space="preserve">la norma reclamada </w:t>
      </w:r>
      <w:r w:rsidR="00901C8E" w:rsidRPr="00BD02B4">
        <w:rPr>
          <w:rFonts w:cs="Arial"/>
          <w:bCs/>
          <w:iCs/>
          <w:sz w:val="28"/>
          <w:szCs w:val="28"/>
        </w:rPr>
        <w:t xml:space="preserve">igualmente </w:t>
      </w:r>
      <w:r w:rsidR="002411CD" w:rsidRPr="00BD02B4">
        <w:rPr>
          <w:rFonts w:cs="Arial"/>
          <w:bCs/>
          <w:iCs/>
          <w:sz w:val="28"/>
          <w:szCs w:val="28"/>
        </w:rPr>
        <w:t>viola l</w:t>
      </w:r>
      <w:r w:rsidR="00901C8E" w:rsidRPr="00BD02B4">
        <w:rPr>
          <w:rFonts w:cs="Arial"/>
          <w:bCs/>
          <w:iCs/>
          <w:sz w:val="28"/>
          <w:szCs w:val="28"/>
        </w:rPr>
        <w:t>o</w:t>
      </w:r>
      <w:r w:rsidR="002411CD" w:rsidRPr="00BD02B4">
        <w:rPr>
          <w:rFonts w:cs="Arial"/>
          <w:bCs/>
          <w:iCs/>
          <w:sz w:val="28"/>
          <w:szCs w:val="28"/>
        </w:rPr>
        <w:t xml:space="preserve">s principios de seguridad jurídica y legalidad tributaria, </w:t>
      </w:r>
      <w:r w:rsidR="00CE37B4" w:rsidRPr="00BD02B4">
        <w:rPr>
          <w:rFonts w:cs="Arial"/>
          <w:bCs/>
          <w:iCs/>
          <w:sz w:val="28"/>
          <w:szCs w:val="28"/>
        </w:rPr>
        <w:t xml:space="preserve">pues </w:t>
      </w:r>
      <w:r w:rsidR="0073138B" w:rsidRPr="00BD02B4">
        <w:rPr>
          <w:rFonts w:cs="Arial"/>
          <w:bCs/>
          <w:iCs/>
          <w:sz w:val="28"/>
          <w:szCs w:val="28"/>
        </w:rPr>
        <w:t xml:space="preserve">no </w:t>
      </w:r>
      <w:r w:rsidR="00A305D2" w:rsidRPr="00BD02B4">
        <w:rPr>
          <w:rFonts w:cs="Arial"/>
          <w:bCs/>
          <w:iCs/>
          <w:sz w:val="28"/>
          <w:szCs w:val="28"/>
        </w:rPr>
        <w:t xml:space="preserve">señala </w:t>
      </w:r>
      <w:r w:rsidR="0073138B" w:rsidRPr="00BD02B4">
        <w:rPr>
          <w:rFonts w:cs="Arial"/>
          <w:bCs/>
          <w:iCs/>
          <w:sz w:val="28"/>
          <w:szCs w:val="28"/>
        </w:rPr>
        <w:t>cómo debe repartirse el importe de $20’000,000.00</w:t>
      </w:r>
      <w:r w:rsidR="00A305D2" w:rsidRPr="00BD02B4">
        <w:rPr>
          <w:rFonts w:cs="Arial"/>
          <w:bCs/>
          <w:iCs/>
          <w:sz w:val="28"/>
          <w:szCs w:val="28"/>
        </w:rPr>
        <w:t xml:space="preserve"> (veinte millones de pesos 00/100 moneda nacional)</w:t>
      </w:r>
      <w:r w:rsidR="0073138B" w:rsidRPr="00BD02B4">
        <w:rPr>
          <w:rFonts w:cs="Arial"/>
          <w:bCs/>
          <w:iCs/>
          <w:sz w:val="28"/>
          <w:szCs w:val="28"/>
        </w:rPr>
        <w:t xml:space="preserve"> cuando se está en presencia de contribuyentes que forman parte de más de un grupo, que tiene más de una parte relacionada o que forman parte de un grupo y que a la vez tengan una parte relacionada que no forman parte de ese grupo, por lo que</w:t>
      </w:r>
      <w:r w:rsidR="00A305D2" w:rsidRPr="00BD02B4">
        <w:rPr>
          <w:rFonts w:cs="Arial"/>
          <w:bCs/>
          <w:iCs/>
          <w:sz w:val="28"/>
          <w:szCs w:val="28"/>
        </w:rPr>
        <w:t>,</w:t>
      </w:r>
      <w:r w:rsidR="0073138B" w:rsidRPr="00BD02B4">
        <w:rPr>
          <w:rFonts w:cs="Arial"/>
          <w:bCs/>
          <w:iCs/>
          <w:sz w:val="28"/>
          <w:szCs w:val="28"/>
        </w:rPr>
        <w:t xml:space="preserve"> no podrán determinar en primer lugar, si les aplica o no la fracción XXXII del artículo 28 de la Ley del Impuesto Sobre la Renta, y en segundo término, qué proporción en todo caso les corresponde, </w:t>
      </w:r>
      <w:r w:rsidR="007B28F8" w:rsidRPr="00BD02B4">
        <w:rPr>
          <w:rFonts w:cs="Arial"/>
          <w:bCs/>
          <w:iCs/>
          <w:sz w:val="28"/>
          <w:szCs w:val="28"/>
        </w:rPr>
        <w:t>de ahí que,</w:t>
      </w:r>
      <w:r w:rsidR="0073138B" w:rsidRPr="00BD02B4">
        <w:rPr>
          <w:rFonts w:cs="Arial"/>
          <w:bCs/>
          <w:iCs/>
          <w:sz w:val="28"/>
          <w:szCs w:val="28"/>
        </w:rPr>
        <w:t xml:space="preserve"> no tendrá los elementos necesarios para determinar el importe de los intereses que podrán o no deducir</w:t>
      </w:r>
      <w:r w:rsidR="00F361AF" w:rsidRPr="00BD02B4">
        <w:rPr>
          <w:rFonts w:cs="Arial"/>
          <w:bCs/>
          <w:iCs/>
          <w:sz w:val="28"/>
          <w:szCs w:val="28"/>
        </w:rPr>
        <w:t>.</w:t>
      </w:r>
    </w:p>
    <w:p w14:paraId="744F98FF" w14:textId="77777777" w:rsidR="0020571D" w:rsidRPr="00BD02B4" w:rsidRDefault="0020571D" w:rsidP="00004076">
      <w:pPr>
        <w:pStyle w:val="Prrafodelista"/>
        <w:ind w:right="-232"/>
        <w:rPr>
          <w:rFonts w:cs="Arial"/>
          <w:bCs/>
          <w:iCs/>
          <w:sz w:val="28"/>
          <w:szCs w:val="28"/>
        </w:rPr>
      </w:pPr>
    </w:p>
    <w:p w14:paraId="046E9843" w14:textId="6420F0A7" w:rsidR="00A544E7" w:rsidRPr="00BD02B4" w:rsidRDefault="0020571D"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 xml:space="preserve">Dicho argumento resulta </w:t>
      </w:r>
      <w:r w:rsidRPr="00BD02B4">
        <w:rPr>
          <w:rFonts w:cs="Arial"/>
          <w:b/>
          <w:iCs/>
          <w:sz w:val="28"/>
          <w:szCs w:val="28"/>
        </w:rPr>
        <w:t>in</w:t>
      </w:r>
      <w:r w:rsidR="007A622A" w:rsidRPr="00BD02B4">
        <w:rPr>
          <w:rFonts w:cs="Arial"/>
          <w:b/>
          <w:iCs/>
          <w:sz w:val="28"/>
          <w:szCs w:val="28"/>
        </w:rPr>
        <w:t>fundado</w:t>
      </w:r>
      <w:r w:rsidR="007A622A" w:rsidRPr="00BD02B4">
        <w:rPr>
          <w:rFonts w:cs="Arial"/>
          <w:bCs/>
          <w:iCs/>
          <w:sz w:val="28"/>
          <w:szCs w:val="28"/>
        </w:rPr>
        <w:t xml:space="preserve">, pues como </w:t>
      </w:r>
      <w:r w:rsidR="00265D8C" w:rsidRPr="00BD02B4">
        <w:rPr>
          <w:rFonts w:cs="Arial"/>
          <w:bCs/>
          <w:iCs/>
          <w:sz w:val="28"/>
          <w:szCs w:val="28"/>
        </w:rPr>
        <w:t>s</w:t>
      </w:r>
      <w:r w:rsidR="007A622A" w:rsidRPr="00BD02B4">
        <w:rPr>
          <w:rFonts w:cs="Arial"/>
          <w:bCs/>
          <w:iCs/>
          <w:sz w:val="28"/>
          <w:szCs w:val="28"/>
        </w:rPr>
        <w:t>e advierte de</w:t>
      </w:r>
      <w:r w:rsidR="005B2C3B" w:rsidRPr="00BD02B4">
        <w:rPr>
          <w:rFonts w:cs="Arial"/>
          <w:bCs/>
          <w:iCs/>
          <w:sz w:val="28"/>
          <w:szCs w:val="28"/>
        </w:rPr>
        <w:t>l</w:t>
      </w:r>
      <w:r w:rsidR="007A622A" w:rsidRPr="00BD02B4">
        <w:rPr>
          <w:rFonts w:cs="Arial"/>
          <w:bCs/>
          <w:iCs/>
          <w:sz w:val="28"/>
          <w:szCs w:val="28"/>
        </w:rPr>
        <w:t xml:space="preserve"> </w:t>
      </w:r>
      <w:r w:rsidR="00040FB4" w:rsidRPr="00BD02B4">
        <w:rPr>
          <w:rFonts w:cs="Arial"/>
          <w:bCs/>
          <w:iCs/>
          <w:sz w:val="28"/>
          <w:szCs w:val="28"/>
        </w:rPr>
        <w:t xml:space="preserve">texto de la </w:t>
      </w:r>
      <w:r w:rsidR="00265D8C" w:rsidRPr="00BD02B4">
        <w:rPr>
          <w:rFonts w:cs="Arial"/>
          <w:bCs/>
          <w:iCs/>
          <w:sz w:val="28"/>
          <w:szCs w:val="28"/>
        </w:rPr>
        <w:t xml:space="preserve">propia fracción XXXII, del artículo </w:t>
      </w:r>
      <w:r w:rsidR="005A6292" w:rsidRPr="00BD02B4">
        <w:rPr>
          <w:rFonts w:cs="Arial"/>
          <w:bCs/>
          <w:iCs/>
          <w:sz w:val="28"/>
          <w:szCs w:val="28"/>
        </w:rPr>
        <w:t xml:space="preserve">28, </w:t>
      </w:r>
      <w:r w:rsidR="005B2C3B" w:rsidRPr="00BD02B4">
        <w:rPr>
          <w:rFonts w:cs="Arial"/>
          <w:bCs/>
          <w:iCs/>
          <w:sz w:val="28"/>
          <w:szCs w:val="28"/>
        </w:rPr>
        <w:t>en su párrafo segundo, el artículo es claro es prever que</w:t>
      </w:r>
      <w:r w:rsidR="005A6292" w:rsidRPr="00BD02B4">
        <w:rPr>
          <w:rFonts w:cs="Arial"/>
          <w:bCs/>
          <w:iCs/>
          <w:sz w:val="28"/>
          <w:szCs w:val="28"/>
        </w:rPr>
        <w:t xml:space="preserve"> </w:t>
      </w:r>
      <w:r w:rsidR="00A544E7" w:rsidRPr="00BD02B4">
        <w:rPr>
          <w:rFonts w:cs="Arial"/>
          <w:bCs/>
          <w:iCs/>
          <w:sz w:val="28"/>
          <w:szCs w:val="28"/>
        </w:rPr>
        <w:t xml:space="preserve">la cantidad se repartirá entre las personas miembros del grupo o partes relacionadas, </w:t>
      </w:r>
      <w:r w:rsidR="00A544E7" w:rsidRPr="00BD02B4">
        <w:rPr>
          <w:rFonts w:cs="Arial"/>
          <w:b/>
          <w:iCs/>
          <w:sz w:val="28"/>
          <w:szCs w:val="28"/>
          <w:u w:val="single"/>
        </w:rPr>
        <w:t>en la proporción de los ingresos acumulables generados durante el ejercicio anterior</w:t>
      </w:r>
      <w:r w:rsidR="00A544E7" w:rsidRPr="00BD02B4">
        <w:rPr>
          <w:rFonts w:cs="Arial"/>
          <w:b/>
          <w:iCs/>
          <w:sz w:val="28"/>
          <w:szCs w:val="28"/>
        </w:rPr>
        <w:t xml:space="preserve"> </w:t>
      </w:r>
      <w:r w:rsidR="00A544E7" w:rsidRPr="00BD02B4">
        <w:rPr>
          <w:rFonts w:cs="Arial"/>
          <w:bCs/>
          <w:iCs/>
          <w:sz w:val="28"/>
          <w:szCs w:val="28"/>
        </w:rPr>
        <w:t>por los contribuyentes a los que les aplica esta fracción.</w:t>
      </w:r>
    </w:p>
    <w:p w14:paraId="0A081D10" w14:textId="0AC0FEED" w:rsidR="0020571D" w:rsidRPr="00BD02B4" w:rsidRDefault="0020571D" w:rsidP="00004076">
      <w:pPr>
        <w:pStyle w:val="corte4fondo"/>
        <w:ind w:right="-232" w:firstLine="0"/>
        <w:contextualSpacing/>
        <w:rPr>
          <w:rFonts w:cs="Arial"/>
          <w:bCs/>
          <w:iCs/>
          <w:sz w:val="28"/>
          <w:szCs w:val="28"/>
        </w:rPr>
      </w:pPr>
    </w:p>
    <w:p w14:paraId="40A92C83" w14:textId="3E245900" w:rsidR="0073138B" w:rsidRPr="00BD02B4" w:rsidRDefault="00FA4B20"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lastRenderedPageBreak/>
        <w:t>Finalmente,</w:t>
      </w:r>
      <w:r w:rsidR="00F361AF" w:rsidRPr="00BD02B4">
        <w:rPr>
          <w:rFonts w:cs="Arial"/>
          <w:bCs/>
          <w:iCs/>
          <w:sz w:val="28"/>
          <w:szCs w:val="28"/>
        </w:rPr>
        <w:t xml:space="preserve"> a</w:t>
      </w:r>
      <w:r w:rsidR="0073138B" w:rsidRPr="00BD02B4">
        <w:rPr>
          <w:rFonts w:cs="Arial"/>
          <w:bCs/>
          <w:iCs/>
          <w:sz w:val="28"/>
          <w:szCs w:val="28"/>
        </w:rPr>
        <w:t>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E1816" w:rsidRPr="00BD02B4">
        <w:rPr>
          <w:rFonts w:cs="Arial"/>
          <w:bCs/>
          <w:iCs/>
          <w:sz w:val="28"/>
          <w:szCs w:val="28"/>
        </w:rPr>
        <w:t xml:space="preserve"> (veinte millones de pesos 00/100 moneda nacional)</w:t>
      </w:r>
      <w:r w:rsidR="0073138B" w:rsidRPr="00BD02B4">
        <w:rPr>
          <w:rFonts w:cs="Arial"/>
          <w:bCs/>
          <w:iCs/>
          <w:sz w:val="28"/>
          <w:szCs w:val="28"/>
        </w:rPr>
        <w:t>, les corresponde y, derivado de ello, cu</w:t>
      </w:r>
      <w:r w:rsidR="0060334D" w:rsidRPr="00BD02B4">
        <w:rPr>
          <w:rFonts w:cs="Arial"/>
          <w:bCs/>
          <w:iCs/>
          <w:sz w:val="28"/>
          <w:szCs w:val="28"/>
        </w:rPr>
        <w:t>á</w:t>
      </w:r>
      <w:r w:rsidR="0073138B" w:rsidRPr="00BD02B4">
        <w:rPr>
          <w:rFonts w:cs="Arial"/>
          <w:bCs/>
          <w:iCs/>
          <w:sz w:val="28"/>
          <w:szCs w:val="28"/>
        </w:rPr>
        <w:t>les intereses podrán deducir y cu</w:t>
      </w:r>
      <w:r w:rsidR="0060334D" w:rsidRPr="00BD02B4">
        <w:rPr>
          <w:rFonts w:cs="Arial"/>
          <w:bCs/>
          <w:iCs/>
          <w:sz w:val="28"/>
          <w:szCs w:val="28"/>
        </w:rPr>
        <w:t>á</w:t>
      </w:r>
      <w:r w:rsidR="0073138B" w:rsidRPr="00BD02B4">
        <w:rPr>
          <w:rFonts w:cs="Arial"/>
          <w:bCs/>
          <w:iCs/>
          <w:sz w:val="28"/>
          <w:szCs w:val="28"/>
        </w:rPr>
        <w:t>les no, lo que les impedirá deducir cualquier interés devengado.</w:t>
      </w:r>
    </w:p>
    <w:p w14:paraId="351D86A4" w14:textId="77777777" w:rsidR="0073138B" w:rsidRPr="00BD02B4" w:rsidRDefault="0073138B" w:rsidP="00004076">
      <w:pPr>
        <w:pStyle w:val="corte4fondo"/>
        <w:ind w:right="-232" w:firstLine="0"/>
        <w:contextualSpacing/>
        <w:rPr>
          <w:rFonts w:cs="Arial"/>
          <w:bCs/>
          <w:iCs/>
          <w:sz w:val="28"/>
          <w:szCs w:val="28"/>
        </w:rPr>
      </w:pPr>
    </w:p>
    <w:p w14:paraId="48C30E61" w14:textId="1B0BCE2D" w:rsidR="0073138B" w:rsidRPr="00BD02B4" w:rsidRDefault="00FD68E2"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Además, r</w:t>
      </w:r>
      <w:r w:rsidR="0073138B" w:rsidRPr="00BD02B4">
        <w:rPr>
          <w:rFonts w:cs="Arial"/>
          <w:bCs/>
          <w:iCs/>
          <w:sz w:val="28"/>
          <w:szCs w:val="28"/>
        </w:rPr>
        <w:t>efiere que no</w:t>
      </w:r>
      <w:r w:rsidR="008F6A1D" w:rsidRPr="00BD02B4">
        <w:rPr>
          <w:rFonts w:cs="Arial"/>
          <w:bCs/>
          <w:iCs/>
          <w:sz w:val="28"/>
          <w:szCs w:val="28"/>
        </w:rPr>
        <w:t xml:space="preserve"> se</w:t>
      </w:r>
      <w:r w:rsidR="0073138B" w:rsidRPr="00BD02B4">
        <w:rPr>
          <w:rFonts w:cs="Arial"/>
          <w:bCs/>
          <w:iCs/>
          <w:sz w:val="28"/>
          <w:szCs w:val="28"/>
        </w:rPr>
        <w:t xml:space="preserve">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53E5C245" w14:textId="305AB8FE" w:rsidR="0073138B" w:rsidRPr="00BD02B4" w:rsidRDefault="0073138B" w:rsidP="00004076">
      <w:pPr>
        <w:pStyle w:val="corte4fondo"/>
        <w:ind w:right="-232" w:firstLine="0"/>
        <w:contextualSpacing/>
        <w:rPr>
          <w:rFonts w:cs="Arial"/>
          <w:bCs/>
          <w:iCs/>
          <w:sz w:val="28"/>
          <w:szCs w:val="28"/>
        </w:rPr>
      </w:pPr>
    </w:p>
    <w:p w14:paraId="0F041C21" w14:textId="4D2866FD" w:rsidR="00607AB5" w:rsidRPr="00BD02B4" w:rsidRDefault="007B67A5"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Los anteriores argumentos</w:t>
      </w:r>
      <w:r w:rsidR="00FC7420" w:rsidRPr="00BD02B4">
        <w:rPr>
          <w:rFonts w:cs="Arial"/>
          <w:bCs/>
          <w:iCs/>
          <w:sz w:val="28"/>
          <w:szCs w:val="28"/>
        </w:rPr>
        <w:t xml:space="preserve"> </w:t>
      </w:r>
      <w:r w:rsidR="00197AA3" w:rsidRPr="00BD02B4">
        <w:rPr>
          <w:rFonts w:cs="Arial"/>
          <w:bCs/>
          <w:iCs/>
          <w:sz w:val="28"/>
          <w:szCs w:val="28"/>
        </w:rPr>
        <w:t>también debe</w:t>
      </w:r>
      <w:r w:rsidRPr="00BD02B4">
        <w:rPr>
          <w:rFonts w:cs="Arial"/>
          <w:bCs/>
          <w:iCs/>
          <w:sz w:val="28"/>
          <w:szCs w:val="28"/>
        </w:rPr>
        <w:t>n</w:t>
      </w:r>
      <w:r w:rsidR="00197AA3" w:rsidRPr="00BD02B4">
        <w:rPr>
          <w:rFonts w:cs="Arial"/>
          <w:bCs/>
          <w:iCs/>
          <w:sz w:val="28"/>
          <w:szCs w:val="28"/>
        </w:rPr>
        <w:t xml:space="preserve"> desestimarse</w:t>
      </w:r>
      <w:r w:rsidR="00661D2C" w:rsidRPr="00BD02B4">
        <w:rPr>
          <w:rFonts w:cs="Arial"/>
          <w:bCs/>
          <w:iCs/>
          <w:sz w:val="28"/>
          <w:szCs w:val="28"/>
        </w:rPr>
        <w:t xml:space="preserve">, pues </w:t>
      </w:r>
      <w:r w:rsidR="007238B2" w:rsidRPr="00BD02B4">
        <w:rPr>
          <w:rFonts w:cs="Arial"/>
          <w:bCs/>
          <w:iCs/>
          <w:sz w:val="28"/>
          <w:szCs w:val="28"/>
        </w:rPr>
        <w:t>la inconstitucionalidad de la norma no se concreta por el</w:t>
      </w:r>
      <w:r w:rsidR="001E7B58" w:rsidRPr="00BD02B4">
        <w:rPr>
          <w:rFonts w:cs="Arial"/>
          <w:bCs/>
          <w:iCs/>
          <w:sz w:val="28"/>
          <w:szCs w:val="28"/>
        </w:rPr>
        <w:t xml:space="preserve"> hecho de </w:t>
      </w:r>
      <w:r w:rsidR="00917BEE" w:rsidRPr="00BD02B4">
        <w:rPr>
          <w:rFonts w:cs="Arial"/>
          <w:bCs/>
          <w:iCs/>
          <w:sz w:val="28"/>
          <w:szCs w:val="28"/>
        </w:rPr>
        <w:t>que ésta no establezca</w:t>
      </w:r>
      <w:r w:rsidR="001E7B58" w:rsidRPr="00BD02B4">
        <w:rPr>
          <w:rFonts w:cs="Arial"/>
          <w:bCs/>
          <w:iCs/>
          <w:sz w:val="28"/>
          <w:szCs w:val="28"/>
        </w:rPr>
        <w:t xml:space="preserve"> la </w:t>
      </w:r>
      <w:r w:rsidR="00AC451B" w:rsidRPr="00BD02B4">
        <w:rPr>
          <w:rFonts w:cs="Arial"/>
          <w:bCs/>
          <w:iCs/>
          <w:sz w:val="28"/>
          <w:szCs w:val="28"/>
        </w:rPr>
        <w:t xml:space="preserve">obligación de la parte relacionada de un contribuyente </w:t>
      </w:r>
      <w:r w:rsidR="0060709F" w:rsidRPr="00BD02B4">
        <w:rPr>
          <w:rFonts w:cs="Arial"/>
          <w:bCs/>
          <w:iCs/>
          <w:sz w:val="28"/>
          <w:szCs w:val="28"/>
        </w:rPr>
        <w:t>de</w:t>
      </w:r>
      <w:r w:rsidR="00EB4299" w:rsidRPr="00BD02B4">
        <w:rPr>
          <w:rFonts w:cs="Arial"/>
          <w:bCs/>
          <w:iCs/>
          <w:sz w:val="28"/>
          <w:szCs w:val="28"/>
        </w:rPr>
        <w:t xml:space="preserve"> proporcionarle información de sus intereses o la forma en</w:t>
      </w:r>
      <w:r w:rsidR="00AF7E0B" w:rsidRPr="00BD02B4">
        <w:rPr>
          <w:rFonts w:cs="Arial"/>
          <w:bCs/>
          <w:iCs/>
          <w:sz w:val="28"/>
          <w:szCs w:val="28"/>
        </w:rPr>
        <w:t xml:space="preserve"> que</w:t>
      </w:r>
      <w:r w:rsidR="00EB4299" w:rsidRPr="00BD02B4">
        <w:rPr>
          <w:rFonts w:cs="Arial"/>
          <w:bCs/>
          <w:iCs/>
          <w:sz w:val="28"/>
          <w:szCs w:val="28"/>
        </w:rPr>
        <w:t xml:space="preserve"> se obtendrá la misma</w:t>
      </w:r>
      <w:r w:rsidR="00917BEE" w:rsidRPr="00BD02B4">
        <w:rPr>
          <w:rFonts w:cs="Arial"/>
          <w:bCs/>
          <w:iCs/>
          <w:sz w:val="28"/>
          <w:szCs w:val="28"/>
        </w:rPr>
        <w:t xml:space="preserve">, </w:t>
      </w:r>
      <w:r w:rsidR="00106710" w:rsidRPr="00BD02B4">
        <w:rPr>
          <w:rFonts w:cs="Arial"/>
          <w:bCs/>
          <w:iCs/>
          <w:sz w:val="28"/>
          <w:szCs w:val="28"/>
        </w:rPr>
        <w:t>pues</w:t>
      </w:r>
      <w:r w:rsidR="008A28A5" w:rsidRPr="00BD02B4">
        <w:rPr>
          <w:rFonts w:cs="Arial"/>
          <w:bCs/>
          <w:iCs/>
          <w:sz w:val="28"/>
          <w:szCs w:val="28"/>
        </w:rPr>
        <w:t xml:space="preserve"> ello es una cuestión relativa a la aplicación de la misma en cada caso en particular</w:t>
      </w:r>
      <w:r w:rsidR="00227581" w:rsidRPr="00BD02B4">
        <w:rPr>
          <w:rFonts w:cs="Arial"/>
          <w:bCs/>
          <w:iCs/>
          <w:sz w:val="28"/>
          <w:szCs w:val="28"/>
        </w:rPr>
        <w:t xml:space="preserve"> que no afecta su generalidad y abstracción y mucho menos su apego a los principios constitucionales; máxime que </w:t>
      </w:r>
      <w:r w:rsidR="00106710" w:rsidRPr="00BD02B4">
        <w:rPr>
          <w:rFonts w:cs="Arial"/>
          <w:bCs/>
          <w:iCs/>
          <w:sz w:val="28"/>
          <w:szCs w:val="28"/>
        </w:rPr>
        <w:t xml:space="preserve">no </w:t>
      </w:r>
      <w:r w:rsidR="00932596" w:rsidRPr="00BD02B4">
        <w:rPr>
          <w:rFonts w:cs="Arial"/>
          <w:bCs/>
          <w:iCs/>
          <w:sz w:val="28"/>
          <w:szCs w:val="28"/>
        </w:rPr>
        <w:t xml:space="preserve">debemos olvidar que </w:t>
      </w:r>
      <w:r w:rsidR="00014BB0" w:rsidRPr="00BD02B4">
        <w:rPr>
          <w:rFonts w:cs="Arial"/>
          <w:bCs/>
          <w:iCs/>
          <w:sz w:val="28"/>
          <w:szCs w:val="28"/>
        </w:rPr>
        <w:t xml:space="preserve">si son partes relacionadas es porque tienen participación de manera directa o indirecta en la </w:t>
      </w:r>
      <w:r w:rsidR="00D24BCF" w:rsidRPr="00BD02B4">
        <w:rPr>
          <w:rFonts w:cs="Arial"/>
          <w:bCs/>
          <w:iCs/>
          <w:sz w:val="28"/>
          <w:szCs w:val="28"/>
        </w:rPr>
        <w:t>administración, control o capital</w:t>
      </w:r>
      <w:r w:rsidR="00014BB0" w:rsidRPr="00BD02B4">
        <w:rPr>
          <w:rFonts w:cs="Arial"/>
          <w:bCs/>
          <w:iCs/>
          <w:sz w:val="28"/>
          <w:szCs w:val="28"/>
        </w:rPr>
        <w:t xml:space="preserve"> de las sociedades de que se traten</w:t>
      </w:r>
      <w:r w:rsidR="00070673" w:rsidRPr="00BD02B4">
        <w:rPr>
          <w:rFonts w:cs="Arial"/>
          <w:bCs/>
          <w:iCs/>
          <w:sz w:val="28"/>
          <w:szCs w:val="28"/>
        </w:rPr>
        <w:t xml:space="preserve"> y</w:t>
      </w:r>
      <w:r w:rsidR="00D80D90" w:rsidRPr="00BD02B4">
        <w:rPr>
          <w:rFonts w:cs="Arial"/>
          <w:bCs/>
          <w:iCs/>
          <w:sz w:val="28"/>
          <w:szCs w:val="28"/>
        </w:rPr>
        <w:t>,</w:t>
      </w:r>
      <w:r w:rsidR="00070673" w:rsidRPr="00BD02B4">
        <w:rPr>
          <w:rFonts w:cs="Arial"/>
          <w:bCs/>
          <w:iCs/>
          <w:sz w:val="28"/>
          <w:szCs w:val="28"/>
        </w:rPr>
        <w:t xml:space="preserve"> por tanto, acceso a </w:t>
      </w:r>
      <w:r w:rsidR="00D80D90" w:rsidRPr="00BD02B4">
        <w:rPr>
          <w:rFonts w:cs="Arial"/>
          <w:bCs/>
          <w:iCs/>
          <w:sz w:val="28"/>
          <w:szCs w:val="28"/>
        </w:rPr>
        <w:t>su información financiera</w:t>
      </w:r>
      <w:r w:rsidR="00070673" w:rsidRPr="00BD02B4">
        <w:rPr>
          <w:rFonts w:cs="Arial"/>
          <w:bCs/>
          <w:iCs/>
          <w:sz w:val="28"/>
          <w:szCs w:val="28"/>
        </w:rPr>
        <w:t xml:space="preserve">. </w:t>
      </w:r>
    </w:p>
    <w:p w14:paraId="4F9EDF8A" w14:textId="77777777" w:rsidR="00070673" w:rsidRPr="00BD02B4" w:rsidRDefault="00070673" w:rsidP="00070673">
      <w:pPr>
        <w:pStyle w:val="Prrafodelista"/>
        <w:rPr>
          <w:rFonts w:cs="Arial"/>
          <w:bCs/>
          <w:iCs/>
          <w:sz w:val="28"/>
          <w:szCs w:val="28"/>
        </w:rPr>
      </w:pPr>
    </w:p>
    <w:p w14:paraId="7AC0910A" w14:textId="77777777" w:rsidR="00D4572B" w:rsidRPr="00BD02B4" w:rsidRDefault="00D4572B" w:rsidP="00004076">
      <w:pPr>
        <w:pStyle w:val="corte4fondo"/>
        <w:ind w:right="-232" w:firstLine="0"/>
        <w:rPr>
          <w:rFonts w:cs="Arial"/>
          <w:b/>
          <w:bCs/>
          <w:sz w:val="28"/>
          <w:szCs w:val="28"/>
        </w:rPr>
      </w:pPr>
      <w:r w:rsidRPr="00BD02B4">
        <w:rPr>
          <w:rFonts w:cs="Arial"/>
          <w:b/>
          <w:bCs/>
          <w:sz w:val="28"/>
          <w:szCs w:val="28"/>
        </w:rPr>
        <w:t>Violación al principio de proporcionalidad tributaria.</w:t>
      </w:r>
    </w:p>
    <w:p w14:paraId="48892677" w14:textId="77777777" w:rsidR="00D4572B" w:rsidRPr="00BD02B4" w:rsidRDefault="00D4572B" w:rsidP="00004076">
      <w:pPr>
        <w:pStyle w:val="corte4fondo"/>
        <w:ind w:right="-232" w:firstLine="0"/>
        <w:rPr>
          <w:rFonts w:cs="Arial"/>
          <w:b/>
          <w:bCs/>
          <w:sz w:val="28"/>
          <w:szCs w:val="28"/>
        </w:rPr>
      </w:pPr>
    </w:p>
    <w:p w14:paraId="50958A8E" w14:textId="3FC29E39"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Refiere la quejosa en </w:t>
      </w:r>
      <w:r w:rsidR="001A19BB" w:rsidRPr="00BD02B4">
        <w:rPr>
          <w:rFonts w:cs="Arial"/>
          <w:sz w:val="28"/>
          <w:szCs w:val="28"/>
        </w:rPr>
        <w:t xml:space="preserve">su </w:t>
      </w:r>
      <w:r w:rsidRPr="00BD02B4">
        <w:rPr>
          <w:rFonts w:cs="Arial"/>
          <w:sz w:val="28"/>
          <w:szCs w:val="28"/>
        </w:rPr>
        <w:t xml:space="preserve">segundo </w:t>
      </w:r>
      <w:r w:rsidR="00BB3E68" w:rsidRPr="00BD02B4">
        <w:rPr>
          <w:rFonts w:cs="Arial"/>
          <w:sz w:val="28"/>
          <w:szCs w:val="28"/>
        </w:rPr>
        <w:t xml:space="preserve">concepto de violación </w:t>
      </w:r>
      <w:r w:rsidRPr="00BD02B4">
        <w:rPr>
          <w:rFonts w:cs="Arial"/>
          <w:sz w:val="28"/>
          <w:szCs w:val="28"/>
        </w:rPr>
        <w:t xml:space="preserve">que la disposición impugnada contiene una restricción de deducción de intereses relativa al equivalente a un 30% de la utilidad fiscal ajustada, lo que contraviene el principio de proporcionalidad tributaria. Añade que la medida legislativa impugnada le priva de deducir una partida que es estrictamente indispensable para lograr su objeto social, en virtud de que la deuda que generó el pago de los intereses es necesaria para la operación, estabilidad, funcionamiento y financiamiento económico de la quejosa, por lo que la restricción de la posibilidad de deducir la totalidad de los intereses devengados le impide tributar conforme a su verdadera capacidad contributiva, lo cual transgrede el contenido del artículo 31, fracción IV de la Constitución Federal. </w:t>
      </w:r>
    </w:p>
    <w:p w14:paraId="13F155EF" w14:textId="77777777" w:rsidR="00D4572B" w:rsidRPr="00BD02B4" w:rsidRDefault="00D4572B" w:rsidP="00004076">
      <w:pPr>
        <w:pStyle w:val="corte4fondo"/>
        <w:ind w:right="-232" w:firstLine="0"/>
        <w:contextualSpacing/>
        <w:rPr>
          <w:rFonts w:cs="Arial"/>
          <w:sz w:val="28"/>
          <w:szCs w:val="28"/>
        </w:rPr>
      </w:pPr>
    </w:p>
    <w:p w14:paraId="2C7A7E54"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Expuesto lo anterior, en el presente asunto, se procede al estudio del significado de la garantía de proporcionalidad tributaria prevista por el artículo 31, fracción IV, de la Constitución Federal.</w:t>
      </w:r>
    </w:p>
    <w:p w14:paraId="724D2172" w14:textId="77777777" w:rsidR="00D4572B" w:rsidRPr="00BD02B4" w:rsidRDefault="00D4572B" w:rsidP="00004076">
      <w:pPr>
        <w:pStyle w:val="corte4fondo"/>
        <w:ind w:right="-232" w:firstLine="0"/>
        <w:contextualSpacing/>
        <w:rPr>
          <w:rFonts w:cs="Arial"/>
          <w:sz w:val="28"/>
          <w:szCs w:val="28"/>
        </w:rPr>
      </w:pPr>
    </w:p>
    <w:p w14:paraId="140916D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doctrina ha puesto énfasis en que el verdadero sentido que la proporcionalidad tiene, es el de colocar a los habitantes del país en unas condiciones tales, que puedan desde ellas acceder a otros bienes y derechos superiores, protegidos constitucionalmente, lo que significa gravamen igual a personas en igual situación y gravamen adecuado a personas en situación diferente, ajustando dicho gravamen a cada una de esas situaciones conforme a la “capacidad contributiva” del gobernado, esto es, el principio en comento es la base para la producción de las normas tributarias que deben referir a la aptitud, posibilidad real y, suficiencia del sujeto de derecho para hacer frente a la exigencia de una obligación dineraria concreta por parte del fisco federal.</w:t>
      </w:r>
    </w:p>
    <w:p w14:paraId="3BBD01E7" w14:textId="77777777" w:rsidR="00D4572B" w:rsidRPr="00BD02B4" w:rsidRDefault="00D4572B" w:rsidP="00004076">
      <w:pPr>
        <w:pStyle w:val="corte4fondo"/>
        <w:ind w:right="-232" w:firstLine="0"/>
        <w:contextualSpacing/>
        <w:rPr>
          <w:rFonts w:cs="Arial"/>
          <w:sz w:val="28"/>
          <w:szCs w:val="28"/>
        </w:rPr>
      </w:pPr>
    </w:p>
    <w:p w14:paraId="5CFEDAAD" w14:textId="16CF6CF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otra</w:t>
      </w:r>
      <w:r w:rsidR="0060334D" w:rsidRPr="00BD02B4">
        <w:rPr>
          <w:rFonts w:cs="Arial"/>
          <w:sz w:val="28"/>
          <w:szCs w:val="28"/>
        </w:rPr>
        <w:t>s</w:t>
      </w:r>
      <w:r w:rsidRPr="00BD02B4">
        <w:rPr>
          <w:rFonts w:cs="Arial"/>
          <w:sz w:val="28"/>
          <w:szCs w:val="28"/>
        </w:rPr>
        <w:t xml:space="preserve"> palabras, la garantía de proporcionalidad que en términos del artículo 31, fracción IV, de la Constitución Política de los Estados Unidos Mexicanos, rige en materia de contribuciones, consiste en que todos los </w:t>
      </w:r>
      <w:r w:rsidRPr="00BD02B4">
        <w:rPr>
          <w:rFonts w:cs="Arial"/>
          <w:sz w:val="28"/>
          <w:szCs w:val="28"/>
        </w:rPr>
        <w:lastRenderedPageBreak/>
        <w:t xml:space="preserve">sujetos pasivos del tributo contribuyan al gasto público de conformidad con su </w:t>
      </w:r>
      <w:r w:rsidRPr="00BD02B4">
        <w:rPr>
          <w:rFonts w:cs="Arial"/>
          <w:sz w:val="28"/>
          <w:szCs w:val="28"/>
          <w:u w:val="single"/>
        </w:rPr>
        <w:t>auténtica capacidad económica, de manera que la participación de los contribuyentes al gasto público se realice en función de la mayor o menor capacidad económica manifestada por aquéllos al realizar el hecho imponible</w:t>
      </w:r>
      <w:r w:rsidRPr="00BD02B4">
        <w:rPr>
          <w:rFonts w:cs="Arial"/>
          <w:sz w:val="28"/>
          <w:szCs w:val="28"/>
        </w:rPr>
        <w:t xml:space="preserve"> (nivel de renta, cantidad y calidad del patrimonio), por lo que los elementos de cuantificación de la obligación tributaria deben hacer referencia al mismo, es decir que sea la base gravable la que permita medir esa capacidad económica y la tarifa o tasa la que exprese la parte de esa capacidad contributiva que corresponde al ente público acreedor del tributo, lo que evidencia que la capacidad económica no sólo marca el cauce lógico del gravamen sino también lo legitima y explica su existencia, condicionando toda su estructura y contenido, tal y como se advierte de la tesis jurisprudencial visible en las páginas 170 y 171, tomo I, de la compilación de Jurisprudencia 1917-1995, de rubro:</w:t>
      </w:r>
      <w:r w:rsidRPr="00BD02B4">
        <w:rPr>
          <w:rFonts w:cs="Arial"/>
          <w:i/>
          <w:sz w:val="28"/>
          <w:szCs w:val="28"/>
        </w:rPr>
        <w:t xml:space="preserve"> "IMPUESTOS, PROPORCIONALIDAD Y EQUIDAD DE LOS”</w:t>
      </w:r>
      <w:r w:rsidRPr="00BD02B4">
        <w:rPr>
          <w:rStyle w:val="Refdenotaalpie"/>
          <w:rFonts w:cs="Arial"/>
          <w:i/>
          <w:sz w:val="28"/>
          <w:szCs w:val="28"/>
        </w:rPr>
        <w:footnoteReference w:id="11"/>
      </w:r>
      <w:r w:rsidRPr="00BD02B4">
        <w:rPr>
          <w:rFonts w:cs="Arial"/>
          <w:i/>
          <w:sz w:val="28"/>
          <w:szCs w:val="28"/>
        </w:rPr>
        <w:t>.</w:t>
      </w:r>
    </w:p>
    <w:p w14:paraId="3817FDEF" w14:textId="77777777" w:rsidR="00D4572B" w:rsidRPr="00BD02B4" w:rsidRDefault="00D4572B" w:rsidP="00004076">
      <w:pPr>
        <w:pStyle w:val="corte4fondo"/>
        <w:ind w:right="-232" w:firstLine="0"/>
        <w:rPr>
          <w:rFonts w:cs="Arial"/>
          <w:sz w:val="28"/>
          <w:szCs w:val="28"/>
        </w:rPr>
      </w:pPr>
    </w:p>
    <w:p w14:paraId="0B75808F" w14:textId="0E02C4D6"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De lo anterior se infiere que la proporcionalidad tributaria radica en la capacidad contributiva o económica de los sujetos pasivos obligados al pago del gravamen, así como que tal capacidad consiste en la potencialidad de contribuir al gasto público que el legislador atribuye a los causantes de un determinado gravamen, según deriva de la </w:t>
      </w:r>
      <w:r w:rsidRPr="00BD02B4">
        <w:rPr>
          <w:rFonts w:cs="Arial"/>
          <w:sz w:val="28"/>
          <w:szCs w:val="28"/>
        </w:rPr>
        <w:lastRenderedPageBreak/>
        <w:t xml:space="preserve">jurisprudencia publicada con el número 275 en el Apéndice al Semanario Judicial de la Federación correspondiente a los años de 1917 – 1995, tomo I, materia Constitucional, páginas 256 y 257 y de la tesis XXXI/96 de este Tribunal Pleno, consultable en el Semanario Judicial de la Federación y su Gaceta, Novena Época, tomo III, marzo de 1996, página 437, cuyos rubros, respectivamente, son: </w:t>
      </w:r>
      <w:r w:rsidRPr="00BD02B4">
        <w:rPr>
          <w:rFonts w:cs="Arial"/>
          <w:i/>
          <w:sz w:val="28"/>
          <w:szCs w:val="28"/>
        </w:rPr>
        <w:t>“PROPORCIONALIDAD Y EQUIDAD TRIBUTARIAS ESTABLECIDAS EN EL ARTÍCULO 31, FRACCIÓN IV, CONSTITUCIONAL’.</w:t>
      </w:r>
      <w:r w:rsidRPr="00BD02B4">
        <w:rPr>
          <w:rStyle w:val="Refdenotaalpie"/>
          <w:rFonts w:cs="Arial"/>
          <w:i/>
          <w:sz w:val="24"/>
          <w:szCs w:val="24"/>
        </w:rPr>
        <w:footnoteReference w:id="12"/>
      </w:r>
      <w:r w:rsidRPr="00BD02B4">
        <w:rPr>
          <w:rFonts w:cs="Arial"/>
          <w:i/>
          <w:sz w:val="28"/>
          <w:szCs w:val="28"/>
        </w:rPr>
        <w:t xml:space="preserve"> </w:t>
      </w:r>
      <w:r w:rsidR="0060334D" w:rsidRPr="00BD02B4">
        <w:rPr>
          <w:rFonts w:cs="Arial"/>
          <w:i/>
          <w:sz w:val="28"/>
          <w:szCs w:val="28"/>
        </w:rPr>
        <w:t>y</w:t>
      </w:r>
      <w:r w:rsidRPr="00BD02B4">
        <w:rPr>
          <w:rFonts w:cs="Arial"/>
          <w:i/>
          <w:sz w:val="28"/>
          <w:szCs w:val="28"/>
        </w:rPr>
        <w:t xml:space="preserve"> “CAPACIDAD CONTRIBUTIVA. CONSISTE EN LA POTENCIALIDAD REAL DE CONTRIBUIR A LOS GASTOS PÚBLICOS’.</w:t>
      </w:r>
      <w:r w:rsidRPr="00BD02B4">
        <w:rPr>
          <w:rStyle w:val="Refdenotaalpie"/>
          <w:rFonts w:cs="Arial"/>
          <w:i/>
          <w:sz w:val="24"/>
          <w:szCs w:val="24"/>
        </w:rPr>
        <w:footnoteReference w:id="13"/>
      </w:r>
    </w:p>
    <w:p w14:paraId="35D1B369" w14:textId="77777777" w:rsidR="00D4572B" w:rsidRPr="00BD02B4" w:rsidRDefault="00D4572B" w:rsidP="00004076">
      <w:pPr>
        <w:pStyle w:val="corte4fondo"/>
        <w:ind w:right="-232" w:hanging="567"/>
        <w:rPr>
          <w:rFonts w:cs="Arial"/>
          <w:sz w:val="28"/>
          <w:szCs w:val="28"/>
        </w:rPr>
      </w:pPr>
    </w:p>
    <w:p w14:paraId="48DC853B"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Sentado el alcance de la garantía de proporcionalidad tributaria, cabe señalar que el análisis de constitucionalidad de las contribuciones debe realizarse tomando en consideración sus particularidades, atendiendo a su naturaleza, la mecánica de causación, su finalidad e incluso las características del contribuyente. </w:t>
      </w:r>
    </w:p>
    <w:p w14:paraId="4EF00A37" w14:textId="77777777" w:rsidR="00D4572B" w:rsidRPr="00BD02B4" w:rsidRDefault="00D4572B" w:rsidP="00004076">
      <w:pPr>
        <w:pStyle w:val="corte4fondo"/>
        <w:ind w:right="-232" w:hanging="567"/>
        <w:rPr>
          <w:rFonts w:cs="Arial"/>
          <w:sz w:val="28"/>
          <w:szCs w:val="28"/>
        </w:rPr>
      </w:pPr>
    </w:p>
    <w:p w14:paraId="69C4BB64"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Sirve de sustento a lo anterior, la tesis 2ª. CLVII/2001, sustentada por la Segunda Sala de esta Suprema Corte de Justicia de la Nación, visible a foja 247, tomo XIV, agosto de 2001, Novena Época, compilada en el </w:t>
      </w:r>
      <w:r w:rsidRPr="00BD02B4">
        <w:rPr>
          <w:rFonts w:cs="Arial"/>
          <w:sz w:val="28"/>
          <w:szCs w:val="28"/>
        </w:rPr>
        <w:lastRenderedPageBreak/>
        <w:t>Semanario Judicial de la Federación, de rubro: ‘</w:t>
      </w:r>
      <w:r w:rsidRPr="00BD02B4">
        <w:rPr>
          <w:rFonts w:cs="Arial"/>
          <w:i/>
          <w:sz w:val="28"/>
          <w:szCs w:val="28"/>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BD02B4">
        <w:rPr>
          <w:rStyle w:val="Refdenotaalpie"/>
          <w:rFonts w:cs="Arial"/>
          <w:i/>
          <w:sz w:val="28"/>
          <w:szCs w:val="28"/>
        </w:rPr>
        <w:footnoteReference w:id="14"/>
      </w:r>
    </w:p>
    <w:p w14:paraId="3B55DC3F" w14:textId="77777777" w:rsidR="00D4572B" w:rsidRPr="00BD02B4" w:rsidRDefault="00D4572B" w:rsidP="00004076">
      <w:pPr>
        <w:pStyle w:val="Prrafodelista"/>
        <w:ind w:right="-232"/>
        <w:rPr>
          <w:rFonts w:ascii="Arial" w:hAnsi="Arial" w:cs="Arial"/>
          <w:sz w:val="28"/>
          <w:szCs w:val="28"/>
        </w:rPr>
      </w:pPr>
    </w:p>
    <w:p w14:paraId="67EF2C75"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A fin de efectuar el estudio de proporcionalidad tributaria de la medida legislativa, conviene ubicar el papel que juega la porción reclamada en la determinación del impuesto sobre la renta de las personas morales. Para ello es necesario precisar que, tratándose las sociedades con actividades empresariales a que se refiere el Título II de la Ley del Impuesto sobre la Renta, el objeto del impuesto lo constituyen los ingresos obtenidos por la actividad que aquéllas realizan. </w:t>
      </w:r>
    </w:p>
    <w:p w14:paraId="5D8980F5" w14:textId="77777777" w:rsidR="00D4572B" w:rsidRPr="00BD02B4" w:rsidRDefault="00D4572B" w:rsidP="00004076">
      <w:pPr>
        <w:pStyle w:val="corte4fondo"/>
        <w:ind w:right="-232" w:hanging="567"/>
        <w:contextualSpacing/>
        <w:rPr>
          <w:rFonts w:cs="Arial"/>
          <w:sz w:val="28"/>
          <w:szCs w:val="28"/>
        </w:rPr>
      </w:pPr>
    </w:p>
    <w:p w14:paraId="7F252BE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No obstante que el objeto del impuesto sobre la renta lo constituyen los ingresos, esta Suprema Corte ha abordado con suficiencia que la </w:t>
      </w:r>
      <w:r w:rsidRPr="00BD02B4">
        <w:rPr>
          <w:rFonts w:cs="Arial"/>
          <w:sz w:val="28"/>
          <w:szCs w:val="28"/>
        </w:rPr>
        <w:lastRenderedPageBreak/>
        <w:t>proporcionalidad  del impuesto -desde la óptica del ámbito tributario- se logra con la aplicación del mecanismo diseñado por el legislador para obtener la base gravable;</w:t>
      </w:r>
      <w:r w:rsidRPr="00BD02B4">
        <w:rPr>
          <w:rStyle w:val="Refdenotaalpie"/>
          <w:rFonts w:cs="Arial"/>
          <w:sz w:val="24"/>
          <w:szCs w:val="24"/>
        </w:rPr>
        <w:footnoteReference w:id="15"/>
      </w:r>
      <w:r w:rsidRPr="00BD02B4">
        <w:rPr>
          <w:rFonts w:cs="Arial"/>
          <w:sz w:val="28"/>
          <w:szCs w:val="28"/>
        </w:rPr>
        <w:t xml:space="preserve"> así entonces la base del impuesto es el resultado de la disminución a los ingresos acumulables de las deducciones autorizadas, de las pérdidas pendientes de aplicar de ejercicios anteriores y del importe de reparto de utilidades pagado por la sociedad. Dentro de este mecanismo, especial importancia tiene en el presente asunto el concepto de deducciones autorizadas que se constituyen, en general, por los gastos e inversiones realizados por los causantes, a efecto de preservar la fuente de riqueza e impactar en un sacrificio mínimo y necesario aquéllos respecto de los cuales, obtiene ingresos para satisfacer el gasto público. </w:t>
      </w:r>
    </w:p>
    <w:p w14:paraId="5011B174" w14:textId="77777777" w:rsidR="00D4572B" w:rsidRPr="00BD02B4" w:rsidRDefault="00D4572B" w:rsidP="00004076">
      <w:pPr>
        <w:pStyle w:val="corte4fondo"/>
        <w:ind w:right="-232" w:hanging="567"/>
        <w:contextualSpacing/>
        <w:rPr>
          <w:rFonts w:cs="Arial"/>
          <w:sz w:val="28"/>
          <w:szCs w:val="28"/>
        </w:rPr>
      </w:pPr>
    </w:p>
    <w:p w14:paraId="51D19112"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Del contenido de los artículos 25 y 27</w:t>
      </w:r>
      <w:r w:rsidRPr="00BD02B4">
        <w:rPr>
          <w:rStyle w:val="Refdenotaalpie"/>
          <w:rFonts w:cs="Arial"/>
          <w:sz w:val="24"/>
          <w:szCs w:val="24"/>
        </w:rPr>
        <w:footnoteReference w:id="16"/>
      </w:r>
      <w:r w:rsidRPr="00BD02B4">
        <w:rPr>
          <w:rFonts w:cs="Arial"/>
          <w:sz w:val="28"/>
          <w:szCs w:val="28"/>
        </w:rPr>
        <w:t xml:space="preserve"> de la Ley del Impuesto sobre la Renta se desprenden las erogaciones que el legislador reconoce como deducibles, así como los requisitos a que se encuentran sujetos dichos conceptos; de los requisitos previstos destaca el relativo a que las erogaciones deben ser estrictamente indispensables para los fines de la actividad del contribuyente. Por ser el tema central del argumento que se analiza precisaremos que la fracción VII del artículo 25 refiere como concepto deducible los intereses a cargo derivados de los créditos recibidos por el contribuyente, siempre que tales créditos sean estrictamente indispensables para los fines del negocio y correspondan a los de mercado. </w:t>
      </w:r>
    </w:p>
    <w:p w14:paraId="6FB748E3" w14:textId="77777777" w:rsidR="00D4572B" w:rsidRPr="00BD02B4" w:rsidRDefault="00D4572B" w:rsidP="00004076">
      <w:pPr>
        <w:pStyle w:val="corte4fondo"/>
        <w:ind w:right="-232" w:hanging="567"/>
        <w:contextualSpacing/>
        <w:rPr>
          <w:rFonts w:cs="Arial"/>
          <w:sz w:val="28"/>
          <w:szCs w:val="28"/>
        </w:rPr>
      </w:pPr>
    </w:p>
    <w:p w14:paraId="65741523" w14:textId="20F59D7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ello se desprende que los gastos a que se alude son aquellos que resultan necesarios para el funcionamiento de la empresa y sin los cuales </w:t>
      </w:r>
      <w:r w:rsidRPr="00BD02B4">
        <w:rPr>
          <w:rFonts w:cs="Arial"/>
          <w:sz w:val="28"/>
          <w:szCs w:val="28"/>
        </w:rPr>
        <w:lastRenderedPageBreak/>
        <w:t xml:space="preserve">sus metas operativas se verían obstaculizadas a grado tal que se impediría la realización del objeto social de la empresa causante, de donde se infiere que en este supuesto se encuentran los intereses que se deben cubrir por concepto de crédito que aquélla obtenga para realizar sus actividades productivas, por lo que el legislador únicamente podría condicionar la deducibilidad de erogaciones de esa naturaleza al considerar la capacidad contributiva del sujeto, cuando existieran motivos de carácter jurídico, económico y/o social, que justificara ese proceder, ya que conforme a las normas del gravamen en examen el concepto de capacidad contributiva del sujeto pasivo se identifica con lo que se denomina en la doctrina como </w:t>
      </w:r>
      <w:r w:rsidRPr="00BD02B4">
        <w:rPr>
          <w:rFonts w:cs="Arial"/>
          <w:i/>
          <w:sz w:val="28"/>
          <w:szCs w:val="28"/>
        </w:rPr>
        <w:t>“haber patrimonial calificado”</w:t>
      </w:r>
      <w:r w:rsidRPr="00BD02B4">
        <w:rPr>
          <w:rFonts w:cs="Arial"/>
          <w:sz w:val="28"/>
          <w:szCs w:val="28"/>
        </w:rPr>
        <w:t xml:space="preserve">, debido a que en el sistema impositivo nacional no todos los ingresos, ni todas las erogaciones tienen efecto tributario o al menos no en un solo ejercicio fiscal. </w:t>
      </w:r>
    </w:p>
    <w:p w14:paraId="315BD67A" w14:textId="77777777" w:rsidR="00D4572B" w:rsidRPr="00BD02B4" w:rsidRDefault="00D4572B" w:rsidP="00004076">
      <w:pPr>
        <w:pStyle w:val="corte4fondo"/>
        <w:ind w:right="-232" w:hanging="567"/>
        <w:contextualSpacing/>
        <w:rPr>
          <w:rFonts w:cs="Arial"/>
          <w:sz w:val="28"/>
          <w:szCs w:val="28"/>
        </w:rPr>
      </w:pPr>
    </w:p>
    <w:p w14:paraId="2B3FDC57"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En ese sentido, el pago de intereses que se originan en el ejercicio, sin duda alguna es un gasto indispensable para las empresas con la finalidad de alcanzar sus objetivos, pues a través del crédito o préstamo es como obtienen los recursos para la continuidad de sus operaciones; sin embargo, esta Suprema Corte de la Justicia de la Nación ha reconocido la libre configuración normativa del legislador para poner límites a una deducción atendiendo a motivos de carácter jurídico, económico y social dentro del marco de los principios tributarios contenidos en la Constitución.</w:t>
      </w:r>
      <w:r w:rsidRPr="00BD02B4">
        <w:rPr>
          <w:rStyle w:val="Refdenotaalpie"/>
          <w:rFonts w:cs="Arial"/>
          <w:sz w:val="24"/>
          <w:szCs w:val="24"/>
        </w:rPr>
        <w:footnoteReference w:id="17"/>
      </w:r>
    </w:p>
    <w:p w14:paraId="4BF4BD29" w14:textId="77777777" w:rsidR="00D4572B" w:rsidRPr="00BD02B4" w:rsidRDefault="00D4572B" w:rsidP="00004076">
      <w:pPr>
        <w:spacing w:line="360" w:lineRule="auto"/>
        <w:ind w:right="-232" w:hanging="567"/>
        <w:jc w:val="both"/>
        <w:rPr>
          <w:rFonts w:ascii="Arial" w:hAnsi="Arial" w:cs="Arial"/>
          <w:bCs/>
          <w:sz w:val="28"/>
          <w:szCs w:val="28"/>
        </w:rPr>
      </w:pPr>
    </w:p>
    <w:p w14:paraId="0709B9A5"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En </w:t>
      </w:r>
      <w:r w:rsidRPr="00BD02B4">
        <w:rPr>
          <w:rFonts w:cs="Arial"/>
          <w:sz w:val="28"/>
          <w:szCs w:val="28"/>
        </w:rPr>
        <w:t>el</w:t>
      </w:r>
      <w:r w:rsidRPr="00BD02B4">
        <w:rPr>
          <w:rFonts w:cs="Arial"/>
          <w:bCs/>
          <w:sz w:val="28"/>
          <w:szCs w:val="28"/>
        </w:rPr>
        <w:t xml:space="preserve"> caso, la medida legislativa impugnada </w:t>
      </w:r>
      <w:r w:rsidRPr="00BD02B4">
        <w:rPr>
          <w:rFonts w:cs="Arial"/>
          <w:b/>
          <w:sz w:val="28"/>
          <w:szCs w:val="28"/>
        </w:rPr>
        <w:t>limita la deducción de intereses netos,</w:t>
      </w:r>
      <w:r w:rsidRPr="00BD02B4">
        <w:rPr>
          <w:rFonts w:cs="Arial"/>
          <w:bCs/>
          <w:sz w:val="28"/>
          <w:szCs w:val="28"/>
        </w:rPr>
        <w:t xml:space="preserve"> </w:t>
      </w:r>
      <w:r w:rsidRPr="00BD02B4">
        <w:rPr>
          <w:rFonts w:cs="Arial"/>
          <w:sz w:val="28"/>
          <w:szCs w:val="28"/>
        </w:rPr>
        <w:t xml:space="preserve">como instrumento para desalentar el sobreendeudamiento de las empresas con la finalidad de disminuir la base impositiva; el legislador </w:t>
      </w:r>
      <w:r w:rsidRPr="00BD02B4">
        <w:rPr>
          <w:rFonts w:cs="Arial"/>
          <w:bCs/>
          <w:sz w:val="28"/>
          <w:szCs w:val="28"/>
        </w:rPr>
        <w:t xml:space="preserve">estableció para las personas morales un límite de intereses netos por deducir en el ejercicio equivalente al monto que resulte de multiplicar la utilidad fiscal ajustada por el 30%; con base en dicho procedimiento los contribuyentes que devenguen intereses sin exceder la cantidad obtenida podrán deducir íntegramente el monto de intereses </w:t>
      </w:r>
      <w:r w:rsidRPr="00BD02B4">
        <w:rPr>
          <w:rFonts w:cs="Arial"/>
          <w:bCs/>
          <w:sz w:val="28"/>
          <w:szCs w:val="28"/>
          <w:u w:val="single"/>
        </w:rPr>
        <w:t>en el ejercicio</w:t>
      </w:r>
      <w:r w:rsidRPr="00BD02B4">
        <w:rPr>
          <w:rFonts w:cs="Arial"/>
          <w:bCs/>
          <w:sz w:val="28"/>
          <w:szCs w:val="28"/>
        </w:rPr>
        <w:t xml:space="preserve">, en cambio, quienes excedan la citada cantidad deberán </w:t>
      </w:r>
      <w:r w:rsidRPr="00BD02B4">
        <w:rPr>
          <w:rFonts w:cs="Arial"/>
          <w:bCs/>
          <w:sz w:val="28"/>
          <w:szCs w:val="28"/>
          <w:u w:val="single"/>
        </w:rPr>
        <w:t>limitar la deducción de intereses en el ejercicio</w:t>
      </w:r>
      <w:r w:rsidRPr="00BD02B4">
        <w:rPr>
          <w:rFonts w:cs="Arial"/>
          <w:bCs/>
          <w:sz w:val="28"/>
          <w:szCs w:val="28"/>
        </w:rPr>
        <w:t xml:space="preserve">, debiéndose </w:t>
      </w:r>
      <w:r w:rsidRPr="00BD02B4">
        <w:rPr>
          <w:rFonts w:cs="Arial"/>
          <w:bCs/>
          <w:sz w:val="28"/>
          <w:szCs w:val="28"/>
        </w:rPr>
        <w:lastRenderedPageBreak/>
        <w:t>destacar que el importe no deducido en el ejercicio podrá disminuirse en los diez ejercicios siguientes.</w:t>
      </w:r>
    </w:p>
    <w:p w14:paraId="1B23AA10" w14:textId="77777777" w:rsidR="00D4572B" w:rsidRPr="00BD02B4" w:rsidRDefault="00D4572B" w:rsidP="00004076">
      <w:pPr>
        <w:spacing w:line="360" w:lineRule="auto"/>
        <w:ind w:right="-232" w:hanging="567"/>
        <w:jc w:val="both"/>
        <w:rPr>
          <w:rFonts w:ascii="Arial" w:hAnsi="Arial" w:cs="Arial"/>
          <w:bCs/>
          <w:sz w:val="28"/>
          <w:szCs w:val="28"/>
        </w:rPr>
      </w:pPr>
    </w:p>
    <w:p w14:paraId="423FE75A"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Por tanto, la porción normativa reclamada debe sujetarse a un escrutinio ordinario al tratarse de una medida que se impone buscando desincentivar la evasión fiscal mediante el sobreendeudamiento de empresas, en el entendido de que las personas morales mantienen el derecho de deducir íntegramente los intereses a cargo, ya sea en el ejercicio o en los diez ejercicios siguientes.</w:t>
      </w:r>
    </w:p>
    <w:p w14:paraId="289B42BC" w14:textId="77777777" w:rsidR="00D4572B" w:rsidRPr="00BD02B4" w:rsidRDefault="00D4572B" w:rsidP="00004076">
      <w:pPr>
        <w:spacing w:line="360" w:lineRule="auto"/>
        <w:ind w:right="-232" w:hanging="567"/>
        <w:contextualSpacing/>
        <w:jc w:val="both"/>
        <w:rPr>
          <w:rFonts w:ascii="Arial" w:hAnsi="Arial" w:cs="Arial"/>
          <w:bCs/>
          <w:sz w:val="28"/>
          <w:szCs w:val="28"/>
        </w:rPr>
      </w:pPr>
    </w:p>
    <w:p w14:paraId="675BF45F"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Así, para lograr el reconocimiento de validez constitucional, basta que las normas busquen avanzar en la realización de fines constitucionales aceptables, que introduzcan medidas relacionadas racionalmente con dichos fines y que no sean abiertamente desproporcionales en la afectación de otros bienes constitucionales.  </w:t>
      </w:r>
    </w:p>
    <w:p w14:paraId="4DBAC4B1" w14:textId="77777777" w:rsidR="00D4572B" w:rsidRPr="00BD02B4" w:rsidRDefault="00D4572B" w:rsidP="00004076">
      <w:pPr>
        <w:spacing w:line="360" w:lineRule="auto"/>
        <w:ind w:right="-232" w:hanging="567"/>
        <w:jc w:val="both"/>
        <w:rPr>
          <w:rFonts w:ascii="Arial" w:hAnsi="Arial" w:cs="Arial"/>
          <w:bCs/>
          <w:sz w:val="28"/>
          <w:szCs w:val="28"/>
        </w:rPr>
      </w:pPr>
    </w:p>
    <w:p w14:paraId="11188E86" w14:textId="4D6B28EC"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Dicho lo anterior, debe analizarse si en el caso la medida legislativa impugnada cumple los requisitos establecidos</w:t>
      </w:r>
      <w:r w:rsidR="00302883" w:rsidRPr="00BD02B4">
        <w:rPr>
          <w:rFonts w:cs="Arial"/>
          <w:bCs/>
          <w:sz w:val="28"/>
          <w:szCs w:val="28"/>
        </w:rPr>
        <w:t>.</w:t>
      </w:r>
    </w:p>
    <w:p w14:paraId="76206472" w14:textId="77777777" w:rsidR="00D4572B" w:rsidRPr="00BD02B4" w:rsidRDefault="00D4572B" w:rsidP="00004076">
      <w:pPr>
        <w:pStyle w:val="Prrafodelista"/>
        <w:ind w:right="-232"/>
        <w:rPr>
          <w:rFonts w:ascii="Arial" w:hAnsi="Arial" w:cs="Arial"/>
          <w:b/>
          <w:sz w:val="28"/>
          <w:szCs w:val="28"/>
        </w:rPr>
      </w:pPr>
    </w:p>
    <w:p w14:paraId="7E666327" w14:textId="1B402A2B"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A criterio de esta </w:t>
      </w:r>
      <w:r w:rsidRPr="00BD02B4">
        <w:rPr>
          <w:rFonts w:cs="Arial"/>
          <w:bCs/>
          <w:sz w:val="28"/>
          <w:szCs w:val="28"/>
        </w:rPr>
        <w:t>Primera</w:t>
      </w:r>
      <w:r w:rsidRPr="00BD02B4">
        <w:rPr>
          <w:rFonts w:cs="Arial"/>
          <w:sz w:val="28"/>
          <w:szCs w:val="28"/>
        </w:rPr>
        <w:t xml:space="preserve"> Sala </w:t>
      </w:r>
      <w:r w:rsidR="00302883" w:rsidRPr="00BD02B4">
        <w:rPr>
          <w:rFonts w:cs="Arial"/>
          <w:sz w:val="28"/>
          <w:szCs w:val="28"/>
        </w:rPr>
        <w:t xml:space="preserve">la limitación a la deducción de intereses netos en el ejercicio es racional como se demostrará a continuación. </w:t>
      </w:r>
    </w:p>
    <w:p w14:paraId="38F6C422" w14:textId="77777777" w:rsidR="00D4572B" w:rsidRPr="00BD02B4" w:rsidRDefault="00D4572B" w:rsidP="00004076">
      <w:pPr>
        <w:spacing w:line="360" w:lineRule="auto"/>
        <w:ind w:right="-232" w:hanging="567"/>
        <w:jc w:val="both"/>
        <w:rPr>
          <w:rFonts w:ascii="Arial" w:hAnsi="Arial" w:cs="Arial"/>
          <w:sz w:val="28"/>
          <w:szCs w:val="28"/>
        </w:rPr>
      </w:pPr>
    </w:p>
    <w:p w14:paraId="6DCF14A8"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exposición de motivos de la reforma que dio origen a la fracción XXXII del artículo 28 de la Ley del Impuesto sobre la Renta establece que “</w:t>
      </w:r>
      <w:r w:rsidRPr="00BD02B4">
        <w:rPr>
          <w:rFonts w:cs="Arial"/>
          <w:i/>
          <w:iCs/>
          <w:sz w:val="28"/>
          <w:szCs w:val="28"/>
        </w:rPr>
        <w:t>Los intereses son una erogación real e indispensable en la que incurren las empresas financiadas mediante deuda, la cual es adquirida por distintos propósitos, como pueden ser la inversión en activos fijos para conseguir un aumento en la capacidad productiva, para mantener el flujo operativo y cumplir con compromisos de pago, o inclusive para impulsar a la empresa que se encuentra en un momento de crisis; todas estas son razones válidas en las que el objetivo principal, siempre será, obtener un beneficio económico futuro</w:t>
      </w:r>
      <w:r w:rsidRPr="00BD02B4">
        <w:rPr>
          <w:rFonts w:cs="Arial"/>
          <w:sz w:val="28"/>
          <w:szCs w:val="28"/>
        </w:rPr>
        <w:t>”.</w:t>
      </w:r>
    </w:p>
    <w:p w14:paraId="3C5855BC" w14:textId="77777777" w:rsidR="00D4572B" w:rsidRPr="00BD02B4" w:rsidRDefault="00D4572B" w:rsidP="00004076">
      <w:pPr>
        <w:spacing w:line="360" w:lineRule="auto"/>
        <w:ind w:right="-232" w:hanging="567"/>
        <w:jc w:val="both"/>
        <w:rPr>
          <w:rFonts w:ascii="Arial" w:hAnsi="Arial" w:cs="Arial"/>
          <w:sz w:val="28"/>
          <w:szCs w:val="28"/>
        </w:rPr>
      </w:pPr>
    </w:p>
    <w:p w14:paraId="23DDEBEF" w14:textId="2AA3551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No obstante</w:t>
      </w:r>
      <w:r w:rsidR="00C23BE4" w:rsidRPr="00BD02B4">
        <w:rPr>
          <w:rFonts w:cs="Arial"/>
          <w:sz w:val="28"/>
          <w:szCs w:val="28"/>
        </w:rPr>
        <w:t>,</w:t>
      </w:r>
      <w:r w:rsidRPr="00BD02B4">
        <w:rPr>
          <w:rFonts w:cs="Arial"/>
          <w:sz w:val="28"/>
          <w:szCs w:val="28"/>
        </w:rPr>
        <w:t xml:space="preserve"> el reconocimiento de la indispensabilidad del financiamiento en la continuidad del objeto social de las empresas, el Reporte Final de la Acción 4 del Proyecto BEPS señala que </w:t>
      </w:r>
      <w:r w:rsidRPr="00BD02B4">
        <w:rPr>
          <w:rFonts w:cs="Arial"/>
          <w:i/>
          <w:iCs/>
          <w:sz w:val="28"/>
          <w:szCs w:val="28"/>
        </w:rPr>
        <w:t>“...una de las técnicas más sencillas para trasladar utilidades como parte una planeación fiscal internacional, es el pago de intereses entre partes relacionadas e independientes.”</w:t>
      </w:r>
    </w:p>
    <w:p w14:paraId="13B0F31D"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66B575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 ve, fue preocupación del legislador establecer mecanismos que permitan controlar el ejercicio del derecho a deducir el pago de intereses desincentivando el sobreendeudamiento de sociedades que detonen planeaciones fiscales con la consecuente erosión de la base gravable.</w:t>
      </w:r>
    </w:p>
    <w:p w14:paraId="5F032442" w14:textId="77777777" w:rsidR="00D4572B" w:rsidRPr="00BD02B4" w:rsidRDefault="00D4572B" w:rsidP="00004076">
      <w:pPr>
        <w:pStyle w:val="corte4fondo"/>
        <w:ind w:right="-232" w:firstLine="0"/>
        <w:contextualSpacing/>
        <w:rPr>
          <w:rFonts w:cs="Arial"/>
          <w:sz w:val="28"/>
          <w:szCs w:val="28"/>
        </w:rPr>
      </w:pPr>
    </w:p>
    <w:p w14:paraId="1692EEE4" w14:textId="2D50554E"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Así, el legislador, en ejercicio de su libertad de configuración legislativa, estableció un mecanismo que obligue a las sociedades que tributan en términos del Título II de la Ley del Impuesto sobre la Renta a determinar intereses netos y deducir en el ejercicio únicamente aquellos que no excedan del monto que resulte de multiplicar la utilidad ajustada por el 30%.</w:t>
      </w:r>
    </w:p>
    <w:p w14:paraId="1DE35E6C"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6AA148D"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Tribunal Pleno ha reconocido que </w:t>
      </w:r>
      <w:r w:rsidRPr="00BD02B4">
        <w:rPr>
          <w:rFonts w:cs="Arial"/>
          <w:i/>
          <w:iCs/>
          <w:sz w:val="28"/>
          <w:szCs w:val="28"/>
        </w:rPr>
        <w:t xml:space="preserve">“...el hecho de que la deducción se condicione al cumplimiento de determinados requisitos </w:t>
      </w:r>
      <w:proofErr w:type="gramStart"/>
      <w:r w:rsidRPr="00BD02B4">
        <w:rPr>
          <w:rFonts w:cs="Arial"/>
          <w:i/>
          <w:iCs/>
          <w:sz w:val="28"/>
          <w:szCs w:val="28"/>
        </w:rPr>
        <w:t>legales,</w:t>
      </w:r>
      <w:proofErr w:type="gramEnd"/>
      <w:r w:rsidRPr="00BD02B4">
        <w:rPr>
          <w:rFonts w:cs="Arial"/>
          <w:i/>
          <w:iCs/>
          <w:sz w:val="28"/>
          <w:szCs w:val="28"/>
        </w:rPr>
        <w:t xml:space="preserve"> se justifica en la medida en </w:t>
      </w:r>
      <w:proofErr w:type="gramStart"/>
      <w:r w:rsidRPr="00BD02B4">
        <w:rPr>
          <w:rFonts w:cs="Arial"/>
          <w:i/>
          <w:iCs/>
          <w:sz w:val="28"/>
          <w:szCs w:val="28"/>
        </w:rPr>
        <w:t>que</w:t>
      </w:r>
      <w:proofErr w:type="gramEnd"/>
      <w:r w:rsidRPr="00BD02B4">
        <w:rPr>
          <w:rFonts w:cs="Arial"/>
          <w:i/>
          <w:iCs/>
          <w:sz w:val="28"/>
          <w:szCs w:val="28"/>
        </w:rPr>
        <w:t xml:space="preserve"> al constituir minoraciones de la base gravable, es necesario establecer mecanismos que impidan su empleo abusivo de manera que se eviten prácticas de elusión o evasión fiscal. Tales requisitos pueden ser dispuestos por el legislador, pues si cuenta con libertad de configuración legislativa para establecer impuestos, con mayor razón la tiene para fijar las condiciones bajo las cuales pueden hacerse las minoraciones correspondientes”.</w:t>
      </w:r>
      <w:r w:rsidRPr="00BD02B4">
        <w:rPr>
          <w:rStyle w:val="Refdenotaalpie"/>
          <w:rFonts w:cs="Arial"/>
          <w:i/>
          <w:iCs/>
          <w:sz w:val="24"/>
          <w:szCs w:val="24"/>
        </w:rPr>
        <w:footnoteReference w:id="18"/>
      </w:r>
    </w:p>
    <w:p w14:paraId="35E32B5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7031C7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congruencia con lo anterior, puede afirmarse que el hecho de que los intereses que deriven del endeudamiento de las empresas no puedan disminuirse íntegramente en el ejercicio en curso y hasta por el monto que resulte de multiplicar la utilidad fiscal ajustada por el 30%, no resulta en sí mismo inconstitucional.</w:t>
      </w:r>
    </w:p>
    <w:p w14:paraId="7D6917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96D93DA" w14:textId="77777777" w:rsidR="00D631C1" w:rsidRPr="00BD02B4" w:rsidRDefault="00D4572B" w:rsidP="00D631C1">
      <w:pPr>
        <w:pStyle w:val="corte4fondo"/>
        <w:numPr>
          <w:ilvl w:val="0"/>
          <w:numId w:val="5"/>
        </w:numPr>
        <w:ind w:left="0" w:right="-232" w:hanging="567"/>
        <w:contextualSpacing/>
        <w:rPr>
          <w:rFonts w:cs="Arial"/>
          <w:b/>
          <w:bCs/>
          <w:sz w:val="28"/>
          <w:szCs w:val="28"/>
        </w:rPr>
      </w:pPr>
      <w:r w:rsidRPr="00BD02B4">
        <w:rPr>
          <w:rFonts w:cs="Arial"/>
          <w:sz w:val="28"/>
          <w:szCs w:val="28"/>
        </w:rPr>
        <w:t xml:space="preserve">Lo anterior es así, porque como ya quedó establecido, la fracción controvertida </w:t>
      </w:r>
      <w:r w:rsidRPr="00BD02B4">
        <w:rPr>
          <w:rFonts w:cs="Arial"/>
          <w:b/>
          <w:bCs/>
          <w:sz w:val="28"/>
          <w:szCs w:val="28"/>
        </w:rPr>
        <w:t>no impide a los contribuyentes la deducción de intereses que deriven de sus deudas</w:t>
      </w:r>
      <w:r w:rsidRPr="00BD02B4">
        <w:rPr>
          <w:rFonts w:cs="Arial"/>
          <w:sz w:val="28"/>
          <w:szCs w:val="28"/>
        </w:rPr>
        <w:t xml:space="preserve">, por el contrario, la reconoce y cumpliendo con las condiciones de ley existe la viabilidad de que la deducción sea integral; limitar en el ejercicio su deducción y condicionar a diez ejercicios posteriores la deducción de los remanentes no deducidos </w:t>
      </w:r>
      <w:r w:rsidRPr="00BD02B4">
        <w:rPr>
          <w:rFonts w:cs="Arial"/>
          <w:b/>
          <w:bCs/>
          <w:sz w:val="28"/>
          <w:szCs w:val="28"/>
        </w:rPr>
        <w:t>no resulta una medida contraria al principio de proporcionalidad tributaria.</w:t>
      </w:r>
    </w:p>
    <w:p w14:paraId="5BCE091B" w14:textId="77777777" w:rsidR="00D631C1" w:rsidRPr="00BD02B4" w:rsidRDefault="00D631C1" w:rsidP="00D631C1">
      <w:pPr>
        <w:pStyle w:val="Prrafodelista"/>
        <w:rPr>
          <w:rFonts w:cs="Arial"/>
          <w:b/>
          <w:bCs/>
          <w:sz w:val="28"/>
          <w:szCs w:val="28"/>
        </w:rPr>
      </w:pPr>
    </w:p>
    <w:p w14:paraId="4DBC82CD" w14:textId="5889066E" w:rsidR="00D631C1" w:rsidRPr="00BD02B4" w:rsidRDefault="00227F06" w:rsidP="00D631C1">
      <w:pPr>
        <w:pStyle w:val="corte4fondo"/>
        <w:numPr>
          <w:ilvl w:val="0"/>
          <w:numId w:val="5"/>
        </w:numPr>
        <w:ind w:left="0" w:right="-232" w:hanging="567"/>
        <w:contextualSpacing/>
        <w:rPr>
          <w:rFonts w:cs="Arial"/>
          <w:sz w:val="28"/>
          <w:szCs w:val="28"/>
        </w:rPr>
      </w:pPr>
      <w:r w:rsidRPr="00BD02B4">
        <w:rPr>
          <w:rFonts w:cs="Arial"/>
          <w:sz w:val="28"/>
          <w:szCs w:val="28"/>
        </w:rPr>
        <w:t>De ahí que, en este punto debe</w:t>
      </w:r>
      <w:r w:rsidR="00B27ABE" w:rsidRPr="00BD02B4">
        <w:rPr>
          <w:rFonts w:cs="Arial"/>
          <w:sz w:val="28"/>
          <w:szCs w:val="28"/>
        </w:rPr>
        <w:t>n</w:t>
      </w:r>
      <w:r w:rsidRPr="00BD02B4">
        <w:rPr>
          <w:rFonts w:cs="Arial"/>
          <w:sz w:val="28"/>
          <w:szCs w:val="28"/>
        </w:rPr>
        <w:t xml:space="preserve"> calificarse como inoperantes todos los argumentos en los que la quejosa señala que la norma impugnada resulta inconstitucional al prohibir la deducción de intereses, pues parten de </w:t>
      </w:r>
      <w:r w:rsidR="00F53EB6" w:rsidRPr="00BD02B4">
        <w:rPr>
          <w:rFonts w:cs="Arial"/>
          <w:sz w:val="28"/>
          <w:szCs w:val="28"/>
        </w:rPr>
        <w:t>una premisa incorrecta</w:t>
      </w:r>
      <w:r w:rsidRPr="00BD02B4">
        <w:rPr>
          <w:rFonts w:cs="Arial"/>
          <w:sz w:val="28"/>
          <w:szCs w:val="28"/>
        </w:rPr>
        <w:t xml:space="preserve">, en virtud de que </w:t>
      </w:r>
      <w:r w:rsidR="00095BC5" w:rsidRPr="00BD02B4">
        <w:rPr>
          <w:rFonts w:cs="Arial"/>
          <w:sz w:val="28"/>
          <w:szCs w:val="28"/>
        </w:rPr>
        <w:t>no se prohíbe sino se limita en el ejercicio</w:t>
      </w:r>
      <w:r w:rsidR="0023652B" w:rsidRPr="00BD02B4">
        <w:rPr>
          <w:rFonts w:cs="Arial"/>
          <w:sz w:val="28"/>
          <w:szCs w:val="28"/>
        </w:rPr>
        <w:t>,</w:t>
      </w:r>
      <w:r w:rsidR="00095BC5" w:rsidRPr="00BD02B4">
        <w:rPr>
          <w:rFonts w:cs="Arial"/>
          <w:sz w:val="28"/>
          <w:szCs w:val="28"/>
        </w:rPr>
        <w:t xml:space="preserve"> permitiendo hacerlo en los </w:t>
      </w:r>
      <w:r w:rsidR="00B27ABE" w:rsidRPr="00BD02B4">
        <w:rPr>
          <w:rFonts w:cs="Arial"/>
          <w:sz w:val="28"/>
          <w:szCs w:val="28"/>
        </w:rPr>
        <w:t xml:space="preserve">diez </w:t>
      </w:r>
      <w:r w:rsidR="00095BC5" w:rsidRPr="00BD02B4">
        <w:rPr>
          <w:rFonts w:cs="Arial"/>
          <w:sz w:val="28"/>
          <w:szCs w:val="28"/>
        </w:rPr>
        <w:t>ejercicios subsecuente</w:t>
      </w:r>
      <w:r w:rsidR="00B27ABE" w:rsidRPr="00BD02B4">
        <w:rPr>
          <w:rFonts w:cs="Arial"/>
          <w:sz w:val="28"/>
          <w:szCs w:val="28"/>
        </w:rPr>
        <w:t xml:space="preserve">s. </w:t>
      </w:r>
    </w:p>
    <w:p w14:paraId="27FCF8C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2EE13A4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Sobre aquellas normas legales que establecen requisitos o condiciones a las figuras sustractivas, esta Suprema Corte ha tomado como premisa fundamental que el legislador cuenta con libertad de configuración legislativa para establecer los tributos y su mecánica.</w:t>
      </w:r>
      <w:r w:rsidRPr="00BD02B4">
        <w:rPr>
          <w:rStyle w:val="Refdenotaalpie"/>
          <w:rFonts w:cs="Arial"/>
          <w:sz w:val="28"/>
          <w:szCs w:val="28"/>
        </w:rPr>
        <w:footnoteReference w:id="19"/>
      </w:r>
    </w:p>
    <w:p w14:paraId="11863214"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43BF32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este sentido, esta Sala advierte que, si la deducción de los intereses derivados del endeudamiento de las empresas fuese ilimitada, ello permitiría que los contribuyentes tengan plena libertad para establecer planeaciones que erosionen la base del impuesto, de manera que se dejaría de pagar el impuesto sobre ingresos mediante una base tributaria con fines elusivos.</w:t>
      </w:r>
    </w:p>
    <w:p w14:paraId="6AEBB00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ECCD15C" w14:textId="1DD956C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tales condiciones, a juicio de esta Sala la medida resulta racional, toda vez que es congruente con el sistema recaudatorio y con el Plan de Acción BEPS, pues al limitarse la deducción de intereses netos en el ejercicio correspondiente, el legislador asegura que no habrá traslado de utilidades como parte de una planeación fiscal, como es el pago de intereses entre partes relacionadas e independientes. </w:t>
      </w:r>
    </w:p>
    <w:p w14:paraId="7CFB1E6A" w14:textId="77777777" w:rsidR="00511D81" w:rsidRPr="00BD02B4" w:rsidRDefault="00511D81" w:rsidP="00511D81">
      <w:pPr>
        <w:pStyle w:val="Prrafodelista"/>
        <w:rPr>
          <w:rFonts w:cs="Arial"/>
          <w:sz w:val="28"/>
          <w:szCs w:val="28"/>
        </w:rPr>
      </w:pPr>
    </w:p>
    <w:p w14:paraId="35E3BDF5" w14:textId="577138B1" w:rsidR="00511D81" w:rsidRPr="00BD02B4" w:rsidRDefault="00FB7C03" w:rsidP="00004076">
      <w:pPr>
        <w:pStyle w:val="corte4fondo"/>
        <w:numPr>
          <w:ilvl w:val="0"/>
          <w:numId w:val="5"/>
        </w:numPr>
        <w:ind w:left="0" w:right="-232" w:hanging="567"/>
        <w:contextualSpacing/>
        <w:rPr>
          <w:rFonts w:cs="Arial"/>
          <w:sz w:val="28"/>
          <w:szCs w:val="28"/>
        </w:rPr>
      </w:pPr>
      <w:r w:rsidRPr="00BD02B4">
        <w:rPr>
          <w:rFonts w:cs="Arial"/>
          <w:sz w:val="28"/>
          <w:szCs w:val="28"/>
        </w:rPr>
        <w:t>En es</w:t>
      </w:r>
      <w:r w:rsidR="00C75CB2" w:rsidRPr="00BD02B4">
        <w:rPr>
          <w:rFonts w:cs="Arial"/>
          <w:sz w:val="28"/>
          <w:szCs w:val="28"/>
        </w:rPr>
        <w:t>t</w:t>
      </w:r>
      <w:r w:rsidRPr="00BD02B4">
        <w:rPr>
          <w:rFonts w:cs="Arial"/>
          <w:sz w:val="28"/>
          <w:szCs w:val="28"/>
        </w:rPr>
        <w:t>a misma línea</w:t>
      </w:r>
      <w:r w:rsidR="00511D81" w:rsidRPr="00BD02B4">
        <w:rPr>
          <w:rFonts w:cs="Arial"/>
          <w:sz w:val="28"/>
          <w:szCs w:val="28"/>
        </w:rPr>
        <w:t xml:space="preserve">, resulta infundado el argumento </w:t>
      </w:r>
      <w:r w:rsidR="00CE1C96" w:rsidRPr="00BD02B4">
        <w:rPr>
          <w:rFonts w:cs="Arial"/>
          <w:sz w:val="28"/>
          <w:szCs w:val="28"/>
        </w:rPr>
        <w:t>en el sentido de que la violación al principio de proporcionalidad tributaria se acredita tratándose de contribuyentes que formen un grupo o sean partes relacionadas</w:t>
      </w:r>
      <w:r w:rsidR="00007664" w:rsidRPr="00BD02B4">
        <w:rPr>
          <w:rFonts w:cs="Arial"/>
          <w:sz w:val="28"/>
          <w:szCs w:val="28"/>
        </w:rPr>
        <w:t xml:space="preserve">, </w:t>
      </w:r>
      <w:r w:rsidR="00297C27" w:rsidRPr="00BD02B4">
        <w:rPr>
          <w:rFonts w:cs="Arial"/>
          <w:sz w:val="28"/>
          <w:szCs w:val="28"/>
        </w:rPr>
        <w:t>ya que</w:t>
      </w:r>
      <w:r w:rsidR="00007664" w:rsidRPr="00BD02B4">
        <w:rPr>
          <w:rFonts w:cs="Arial"/>
          <w:sz w:val="28"/>
          <w:szCs w:val="28"/>
        </w:rPr>
        <w:t xml:space="preserve"> el monto de intereses deducibles será menor al repartirse </w:t>
      </w:r>
      <w:r w:rsidR="00744DCD" w:rsidRPr="00BD02B4">
        <w:rPr>
          <w:rFonts w:cs="Arial"/>
          <w:sz w:val="28"/>
          <w:szCs w:val="28"/>
        </w:rPr>
        <w:t xml:space="preserve">el monto de veinte millones entre ellas; </w:t>
      </w:r>
      <w:r w:rsidR="00EE0661" w:rsidRPr="00BD02B4">
        <w:rPr>
          <w:rFonts w:cs="Arial"/>
          <w:sz w:val="28"/>
          <w:szCs w:val="28"/>
        </w:rPr>
        <w:t xml:space="preserve">ello es así pues precisamente </w:t>
      </w:r>
      <w:r w:rsidR="00E30ECA" w:rsidRPr="00BD02B4">
        <w:rPr>
          <w:rFonts w:cs="Arial"/>
          <w:sz w:val="28"/>
          <w:szCs w:val="28"/>
        </w:rPr>
        <w:t xml:space="preserve">la medida de control implementada está dirigida </w:t>
      </w:r>
      <w:r w:rsidR="002B009A" w:rsidRPr="00BD02B4">
        <w:rPr>
          <w:rFonts w:cs="Arial"/>
          <w:sz w:val="28"/>
          <w:szCs w:val="28"/>
        </w:rPr>
        <w:t>a esos contribuyentes,</w:t>
      </w:r>
      <w:r w:rsidR="00BF189B" w:rsidRPr="00BD02B4">
        <w:rPr>
          <w:rFonts w:cs="Arial"/>
          <w:sz w:val="28"/>
          <w:szCs w:val="28"/>
        </w:rPr>
        <w:t xml:space="preserve"> para evitar </w:t>
      </w:r>
      <w:r w:rsidR="00500982" w:rsidRPr="00BD02B4">
        <w:rPr>
          <w:rFonts w:cs="Arial"/>
          <w:sz w:val="28"/>
          <w:szCs w:val="28"/>
        </w:rPr>
        <w:t>el pago de intereses excesivos en el ejercicio con el único objetivo de trasladar utilidade</w:t>
      </w:r>
      <w:r w:rsidR="00173146" w:rsidRPr="00BD02B4">
        <w:rPr>
          <w:rFonts w:cs="Arial"/>
          <w:sz w:val="28"/>
          <w:szCs w:val="28"/>
        </w:rPr>
        <w:t xml:space="preserve">s, por lo que, </w:t>
      </w:r>
      <w:r w:rsidR="00FE5A4C" w:rsidRPr="00BD02B4">
        <w:rPr>
          <w:rFonts w:cs="Arial"/>
          <w:sz w:val="28"/>
          <w:szCs w:val="28"/>
        </w:rPr>
        <w:t>al ser una medida racional</w:t>
      </w:r>
      <w:r w:rsidR="00C75CB2" w:rsidRPr="00BD02B4">
        <w:rPr>
          <w:rFonts w:cs="Arial"/>
          <w:sz w:val="28"/>
          <w:szCs w:val="28"/>
        </w:rPr>
        <w:t>, no resulta inconstitucional</w:t>
      </w:r>
      <w:r w:rsidR="00201263" w:rsidRPr="00BD02B4">
        <w:rPr>
          <w:rFonts w:cs="Arial"/>
          <w:sz w:val="28"/>
          <w:szCs w:val="28"/>
        </w:rPr>
        <w:t xml:space="preserve">. </w:t>
      </w:r>
    </w:p>
    <w:p w14:paraId="4288A7F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F9F8339"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lastRenderedPageBreak/>
        <w:t xml:space="preserve">La medida impugnada </w:t>
      </w:r>
      <w:r w:rsidRPr="00BD02B4">
        <w:rPr>
          <w:rFonts w:cs="Arial"/>
          <w:sz w:val="28"/>
          <w:szCs w:val="28"/>
        </w:rPr>
        <w:t>cumple</w:t>
      </w:r>
      <w:r w:rsidRPr="00BD02B4">
        <w:rPr>
          <w:rFonts w:cs="Arial"/>
          <w:bCs/>
          <w:sz w:val="28"/>
          <w:szCs w:val="28"/>
        </w:rPr>
        <w:t xml:space="preserve"> con el segundo requisito porque razonablemente está conectada con la finalidad constitucional identificada.</w:t>
      </w:r>
    </w:p>
    <w:p w14:paraId="7579DDCC" w14:textId="77777777" w:rsidR="00D4572B" w:rsidRPr="00BD02B4" w:rsidRDefault="00D4572B" w:rsidP="00004076">
      <w:pPr>
        <w:pStyle w:val="Prrafodelista"/>
        <w:spacing w:line="360" w:lineRule="auto"/>
        <w:ind w:left="0" w:right="-232"/>
        <w:jc w:val="both"/>
        <w:rPr>
          <w:rFonts w:ascii="Arial" w:hAnsi="Arial" w:cs="Arial"/>
          <w:bCs/>
          <w:sz w:val="28"/>
          <w:szCs w:val="28"/>
        </w:rPr>
      </w:pPr>
    </w:p>
    <w:p w14:paraId="5F3ECED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conformidad con el artículo 25 de la Constitución Política de los Estados Unidos Mexicanos, corresponde al Estado la rectoría del desarrollo nacional para garantizar que éste sea integral y sustentable, que fortalezca la soberanía de la Nación y su régimen democrático, por lo que el ente estatal planeará, conducirá, coordinará y orientará la actividad económica nacional, y llevará a cabo la regulación y fomento de las actividades que demande el interés general en el marco de las libertades otorgado por la propia Ley Fundamental.</w:t>
      </w:r>
    </w:p>
    <w:p w14:paraId="0793334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52304B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tal efecto, el citado precepto constitucional establece que al desarrollo económico nacional concurrirán, con responsabilidad social, los sectores público, privado y social, así como cualquier forma de actividad económica que contribuya al desarrollo nacional, para lo cual, bajo criterios de equidad social y productividad, se apoyará e impulsará a las empresas de los sectores social y privado, con sujeción a las modalidades que dicte el interés público y al uso, en beneficio general, de los recursos productivos, de modo que el desenvolvimiento del sector privado contribuya al desarrollo económico nacional.</w:t>
      </w:r>
    </w:p>
    <w:p w14:paraId="1B786C6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5E333F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ese sentido, el legislador –en el ámbito de sus facultades–, puede diseñar leyes fiscales que permitan al Estado, a través de la recaudación, cumplir con los objetivos establecidos para la rectoría económica del Estado.</w:t>
      </w:r>
    </w:p>
    <w:p w14:paraId="284D32F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4A91C6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Una vez establecido que la norma tributaria es un medio para alcanzar los propósitos de la rectoría económica del Estado, ahora corresponde analizar si con la medida legislativa consistente en limitar la deducción de intereses netos en el ejercicio, es posible alcanzar tales objetivos sin afectar de manera innecesaria o excesiva otros derechos, a fin de </w:t>
      </w:r>
      <w:r w:rsidRPr="00BD02B4">
        <w:rPr>
          <w:rFonts w:cs="Arial"/>
          <w:sz w:val="28"/>
          <w:szCs w:val="28"/>
        </w:rPr>
        <w:lastRenderedPageBreak/>
        <w:t>determinar de manera específica si los contribuyentes tributan de manera acorde con el principio de proporcionalidad tributaria.</w:t>
      </w:r>
    </w:p>
    <w:p w14:paraId="56B359C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987461D" w14:textId="3369471C" w:rsidR="00D4572B" w:rsidRPr="00BD02B4" w:rsidRDefault="00D4572B" w:rsidP="00004076">
      <w:pPr>
        <w:pStyle w:val="corte4fondo"/>
        <w:numPr>
          <w:ilvl w:val="0"/>
          <w:numId w:val="5"/>
        </w:numPr>
        <w:ind w:left="0" w:right="-232" w:hanging="567"/>
        <w:contextualSpacing/>
        <w:rPr>
          <w:rFonts w:cs="Arial"/>
          <w:sz w:val="28"/>
          <w:szCs w:val="28"/>
          <w:lang w:val="es-MX"/>
        </w:rPr>
      </w:pPr>
      <w:r w:rsidRPr="00BD02B4">
        <w:rPr>
          <w:rFonts w:cs="Arial"/>
          <w:sz w:val="28"/>
          <w:szCs w:val="28"/>
          <w:lang w:val="es-MX"/>
        </w:rPr>
        <w:t xml:space="preserve">En el caso a estudio, a juicio de esta Primera Sala, el legislador diseñó una </w:t>
      </w:r>
      <w:r w:rsidRPr="00BD02B4">
        <w:rPr>
          <w:rFonts w:cs="Arial"/>
          <w:i/>
          <w:sz w:val="28"/>
          <w:szCs w:val="28"/>
          <w:lang w:val="es-MX"/>
        </w:rPr>
        <w:t>limitante</w:t>
      </w:r>
      <w:r w:rsidRPr="00BD02B4">
        <w:rPr>
          <w:rFonts w:cs="Arial"/>
          <w:sz w:val="28"/>
          <w:szCs w:val="28"/>
          <w:lang w:val="es-MX"/>
        </w:rPr>
        <w:t xml:space="preserve"> </w:t>
      </w:r>
      <w:r w:rsidRPr="00BD02B4">
        <w:rPr>
          <w:rFonts w:cs="Arial"/>
          <w:i/>
          <w:sz w:val="28"/>
          <w:szCs w:val="28"/>
          <w:lang w:val="es-MX"/>
        </w:rPr>
        <w:t>razonable,</w:t>
      </w:r>
      <w:r w:rsidRPr="00BD02B4">
        <w:rPr>
          <w:rFonts w:cs="Arial"/>
          <w:sz w:val="28"/>
          <w:szCs w:val="28"/>
          <w:lang w:val="es-MX"/>
        </w:rPr>
        <w:t xml:space="preserve"> lo cual se desprende de la proporcional correspondencia que guarda la medida decretada, en relación con la consecución de las finalidades trazadas, tal y como se explica a continuación:</w:t>
      </w:r>
      <w:r w:rsidR="004A4765" w:rsidRPr="00BD02B4">
        <w:rPr>
          <w:rFonts w:cs="Arial"/>
          <w:sz w:val="28"/>
          <w:szCs w:val="28"/>
          <w:lang w:val="es-MX"/>
        </w:rPr>
        <w:t xml:space="preserve"> </w:t>
      </w:r>
    </w:p>
    <w:p w14:paraId="159989D3" w14:textId="61BAD599" w:rsidR="00D4572B" w:rsidRPr="00BD02B4" w:rsidRDefault="00D4572B" w:rsidP="00004076">
      <w:pPr>
        <w:pStyle w:val="Prrafodelista"/>
        <w:spacing w:line="360" w:lineRule="auto"/>
        <w:ind w:left="0" w:right="-232"/>
        <w:jc w:val="both"/>
        <w:rPr>
          <w:rFonts w:ascii="Arial" w:hAnsi="Arial" w:cs="Arial"/>
          <w:sz w:val="28"/>
          <w:szCs w:val="28"/>
        </w:rPr>
      </w:pPr>
    </w:p>
    <w:p w14:paraId="3E491B79"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La proporcionalidad entre la medida y las finalidades, se justifica con bases objetivas y razonables, especialmente porque si bien se </w:t>
      </w:r>
      <w:r w:rsidRPr="00BD02B4">
        <w:rPr>
          <w:rFonts w:cs="Arial"/>
          <w:sz w:val="28"/>
          <w:szCs w:val="28"/>
        </w:rPr>
        <w:t>reconoce la importancia de que las empresas logren financiamiento mediante deuda, instrumento que es adquirido por distintos propósitos, como pueden ser la inversión en activos fijos para conseguir un aumento en la capacidad productiva, para mantener el flujo operativo y cumplir con compromisos de pago, o inclusive para impulsar a la empresa que se encuentra en un momento de crisis; también es cierto que es real el abuso de este instrumento de financiamiento con fines elusivos, pues mediante el sobreendeudamiento se logra erosionar la base gravable del impuesto sobre la renta además de generar un traslado de utilidades entre empresas</w:t>
      </w:r>
      <w:r w:rsidRPr="00BD02B4">
        <w:rPr>
          <w:rFonts w:cs="Arial"/>
          <w:sz w:val="28"/>
          <w:szCs w:val="28"/>
          <w:lang w:eastAsia="x-none"/>
        </w:rPr>
        <w:t>.</w:t>
      </w:r>
    </w:p>
    <w:p w14:paraId="15AFD72A" w14:textId="77777777" w:rsidR="00D4572B" w:rsidRPr="00BD02B4" w:rsidRDefault="00D4572B" w:rsidP="00004076">
      <w:pPr>
        <w:spacing w:line="360" w:lineRule="auto"/>
        <w:ind w:right="-232"/>
        <w:jc w:val="both"/>
        <w:rPr>
          <w:rFonts w:ascii="Arial" w:hAnsi="Arial" w:cs="Arial"/>
          <w:sz w:val="28"/>
          <w:szCs w:val="28"/>
          <w:lang w:eastAsia="x-none"/>
        </w:rPr>
      </w:pPr>
    </w:p>
    <w:p w14:paraId="15DE1072"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De esta </w:t>
      </w:r>
      <w:r w:rsidRPr="00BD02B4">
        <w:rPr>
          <w:rFonts w:cs="Arial"/>
          <w:sz w:val="28"/>
          <w:szCs w:val="28"/>
        </w:rPr>
        <w:t>forma</w:t>
      </w:r>
      <w:r w:rsidRPr="00BD02B4">
        <w:rPr>
          <w:rFonts w:cs="Arial"/>
          <w:sz w:val="28"/>
          <w:szCs w:val="28"/>
          <w:lang w:eastAsia="x-none"/>
        </w:rPr>
        <w:t>, la limitante de deducir intereses netos en el ejercicio busca desalentar este tipo de operaciones.</w:t>
      </w:r>
    </w:p>
    <w:p w14:paraId="0329A302" w14:textId="77777777" w:rsidR="00D4572B" w:rsidRPr="00BD02B4" w:rsidRDefault="00D4572B" w:rsidP="00004076">
      <w:pPr>
        <w:pStyle w:val="Prrafodelista"/>
        <w:spacing w:line="360" w:lineRule="auto"/>
        <w:ind w:left="0" w:right="-232"/>
        <w:jc w:val="both"/>
        <w:rPr>
          <w:rFonts w:ascii="Arial" w:hAnsi="Arial" w:cs="Arial"/>
          <w:sz w:val="28"/>
          <w:szCs w:val="28"/>
          <w:lang w:eastAsia="x-none"/>
        </w:rPr>
      </w:pPr>
    </w:p>
    <w:p w14:paraId="6F5F430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tales condiciones, esta Sala concluye que existe una proporcional correspondencia entre la medida utilizada por el legislador y la finalidad que se pretende alcanzar, por lo que resulta razonable.</w:t>
      </w:r>
    </w:p>
    <w:p w14:paraId="349BC32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699BA8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bCs/>
          <w:sz w:val="28"/>
          <w:szCs w:val="28"/>
        </w:rPr>
        <w:t xml:space="preserve">Por último, se estima que las medidas analizadas no afectan </w:t>
      </w:r>
      <w:r w:rsidRPr="00BD02B4">
        <w:rPr>
          <w:rFonts w:cs="Arial"/>
          <w:sz w:val="28"/>
          <w:szCs w:val="28"/>
        </w:rPr>
        <w:t>desproporcionadamente</w:t>
      </w:r>
      <w:r w:rsidRPr="00BD02B4">
        <w:rPr>
          <w:rFonts w:cs="Arial"/>
          <w:bCs/>
          <w:sz w:val="28"/>
          <w:szCs w:val="28"/>
        </w:rPr>
        <w:t xml:space="preserve"> otros bienes constitucionales, pues el sistema de </w:t>
      </w:r>
      <w:r w:rsidRPr="00BD02B4">
        <w:rPr>
          <w:rFonts w:cs="Arial"/>
          <w:bCs/>
          <w:sz w:val="28"/>
          <w:szCs w:val="28"/>
        </w:rPr>
        <w:lastRenderedPageBreak/>
        <w:t>limitar intereses netos en el ejercicio con base en el procedimiento descrito en la norma legal impugnada no es transgresor del principio de proporcionalidad tributaria, sino que es congruente con el mandato constitucional previsto en la fracción IV del artículo 31 Constitucional que establece la obligación de los gobernados de contribuir al sostenimiento de los gastos públicos del Estado.</w:t>
      </w:r>
    </w:p>
    <w:p w14:paraId="6294C7D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67F9461" w14:textId="6547D214" w:rsidR="00B7124F" w:rsidRPr="00BD02B4" w:rsidRDefault="00D4572B" w:rsidP="00B7124F">
      <w:pPr>
        <w:pStyle w:val="corte4fondo"/>
        <w:numPr>
          <w:ilvl w:val="0"/>
          <w:numId w:val="5"/>
        </w:numPr>
        <w:ind w:left="0" w:right="-232" w:hanging="567"/>
        <w:contextualSpacing/>
        <w:rPr>
          <w:rFonts w:cs="Arial"/>
          <w:sz w:val="28"/>
          <w:szCs w:val="28"/>
        </w:rPr>
      </w:pPr>
      <w:r w:rsidRPr="00BD02B4">
        <w:rPr>
          <w:rFonts w:cs="Arial"/>
          <w:sz w:val="28"/>
          <w:szCs w:val="28"/>
        </w:rPr>
        <w:t>Como se ha anticipado, permitir de manera ilimitada la deducibilidad del pago de intereses generaría un efecto contrario toda vez que mediante pr</w:t>
      </w:r>
      <w:r w:rsidR="00F144F1" w:rsidRPr="00BD02B4">
        <w:rPr>
          <w:rFonts w:cs="Arial"/>
          <w:sz w:val="28"/>
          <w:szCs w:val="28"/>
        </w:rPr>
        <w:t>á</w:t>
      </w:r>
      <w:r w:rsidRPr="00BD02B4">
        <w:rPr>
          <w:rFonts w:cs="Arial"/>
          <w:sz w:val="28"/>
          <w:szCs w:val="28"/>
        </w:rPr>
        <w:t xml:space="preserve">cticas fiscalmente agresivas se permite a los contribuyentes erosionar la base del impuesto a través del instrumento de deuda, lo cual es contrario al texto supremo. </w:t>
      </w:r>
    </w:p>
    <w:p w14:paraId="1412A23D" w14:textId="77777777" w:rsidR="00B7124F" w:rsidRPr="00BD02B4" w:rsidRDefault="00B7124F" w:rsidP="00B7124F">
      <w:pPr>
        <w:pStyle w:val="corte4fondo"/>
        <w:ind w:right="-232" w:firstLine="0"/>
        <w:contextualSpacing/>
        <w:rPr>
          <w:rFonts w:cs="Arial"/>
          <w:sz w:val="28"/>
          <w:szCs w:val="28"/>
        </w:rPr>
      </w:pPr>
    </w:p>
    <w:p w14:paraId="0EE00450" w14:textId="7C7DE7D7" w:rsidR="005A2ED1" w:rsidRPr="00BD02B4" w:rsidRDefault="00D32BC1" w:rsidP="005A2ED1">
      <w:pPr>
        <w:pStyle w:val="corte4fondo"/>
        <w:numPr>
          <w:ilvl w:val="0"/>
          <w:numId w:val="5"/>
        </w:numPr>
        <w:ind w:left="0" w:right="-232" w:hanging="567"/>
        <w:contextualSpacing/>
        <w:rPr>
          <w:rFonts w:cs="Arial"/>
          <w:sz w:val="28"/>
          <w:szCs w:val="28"/>
        </w:rPr>
      </w:pPr>
      <w:r w:rsidRPr="00BD02B4">
        <w:rPr>
          <w:rFonts w:cs="Arial"/>
          <w:sz w:val="28"/>
          <w:szCs w:val="28"/>
        </w:rPr>
        <w:t>Aunado a lo anterior, la</w:t>
      </w:r>
      <w:r w:rsidR="00B7124F" w:rsidRPr="00BD02B4">
        <w:rPr>
          <w:rFonts w:cs="Arial"/>
          <w:sz w:val="28"/>
          <w:szCs w:val="28"/>
        </w:rPr>
        <w:t xml:space="preserve"> parte recurrente aduce que </w:t>
      </w:r>
      <w:r w:rsidRPr="00BD02B4">
        <w:rPr>
          <w:rFonts w:cs="Arial"/>
          <w:sz w:val="28"/>
          <w:szCs w:val="28"/>
        </w:rPr>
        <w:t xml:space="preserve">resulta desproporcional </w:t>
      </w:r>
      <w:r w:rsidR="00B7124F" w:rsidRPr="00BD02B4">
        <w:rPr>
          <w:rFonts w:cs="Arial"/>
          <w:sz w:val="28"/>
          <w:szCs w:val="28"/>
        </w:rPr>
        <w:t xml:space="preserve">limitar la deducción de los intereses devengados </w:t>
      </w:r>
      <w:r w:rsidRPr="00BD02B4">
        <w:rPr>
          <w:rFonts w:cs="Arial"/>
          <w:sz w:val="28"/>
          <w:szCs w:val="28"/>
        </w:rPr>
        <w:t>con</w:t>
      </w:r>
      <w:r w:rsidR="00B7124F" w:rsidRPr="00BD02B4">
        <w:rPr>
          <w:rFonts w:cs="Arial"/>
          <w:sz w:val="28"/>
          <w:szCs w:val="28"/>
        </w:rPr>
        <w:t xml:space="preserve"> base </w:t>
      </w:r>
      <w:r w:rsidR="00E46B80" w:rsidRPr="00BD02B4">
        <w:rPr>
          <w:rFonts w:cs="Arial"/>
          <w:sz w:val="28"/>
          <w:szCs w:val="28"/>
        </w:rPr>
        <w:t>en</w:t>
      </w:r>
      <w:r w:rsidR="00B7124F" w:rsidRPr="00BD02B4">
        <w:rPr>
          <w:rFonts w:cs="Arial"/>
          <w:sz w:val="28"/>
          <w:szCs w:val="28"/>
        </w:rPr>
        <w:t xml:space="preserve"> los ingresos acumulables de otras personas</w:t>
      </w:r>
      <w:r w:rsidR="0097317D" w:rsidRPr="00BD02B4">
        <w:rPr>
          <w:rFonts w:cs="Arial"/>
          <w:sz w:val="28"/>
          <w:szCs w:val="28"/>
        </w:rPr>
        <w:t xml:space="preserve"> a diferencia de lo que se hace con la capitalización delgada que toma en cuenta </w:t>
      </w:r>
      <w:r w:rsidR="00B15FE2" w:rsidRPr="00BD02B4">
        <w:rPr>
          <w:rFonts w:cs="Arial"/>
          <w:sz w:val="28"/>
          <w:szCs w:val="28"/>
        </w:rPr>
        <w:t>aspectos propios (como el nivel de sus deudas y su relación con su capital contable)</w:t>
      </w:r>
      <w:r w:rsidR="00120E7F" w:rsidRPr="00BD02B4">
        <w:rPr>
          <w:rFonts w:cs="Arial"/>
          <w:sz w:val="28"/>
          <w:szCs w:val="28"/>
        </w:rPr>
        <w:t xml:space="preserve">; </w:t>
      </w:r>
      <w:r w:rsidR="002D4339" w:rsidRPr="00BD02B4">
        <w:rPr>
          <w:rFonts w:cs="Arial"/>
          <w:sz w:val="28"/>
          <w:szCs w:val="28"/>
        </w:rPr>
        <w:t xml:space="preserve">sin embargo, dicho argumento debe desestimarse pues </w:t>
      </w:r>
      <w:r w:rsidR="00E548C3" w:rsidRPr="00BD02B4">
        <w:rPr>
          <w:rFonts w:cs="Arial"/>
          <w:sz w:val="28"/>
          <w:szCs w:val="28"/>
        </w:rPr>
        <w:t>la regla contenid</w:t>
      </w:r>
      <w:r w:rsidR="001D7464" w:rsidRPr="00BD02B4">
        <w:rPr>
          <w:rFonts w:cs="Arial"/>
          <w:sz w:val="28"/>
          <w:szCs w:val="28"/>
        </w:rPr>
        <w:t>a</w:t>
      </w:r>
      <w:r w:rsidR="00E548C3" w:rsidRPr="00BD02B4">
        <w:rPr>
          <w:rFonts w:cs="Arial"/>
          <w:sz w:val="28"/>
          <w:szCs w:val="28"/>
        </w:rPr>
        <w:t xml:space="preserve"> en la fracción impugnada en el sentido de que </w:t>
      </w:r>
      <w:r w:rsidR="006F698D" w:rsidRPr="00BD02B4">
        <w:rPr>
          <w:rFonts w:cs="Arial"/>
          <w:sz w:val="28"/>
          <w:szCs w:val="28"/>
        </w:rPr>
        <w:t xml:space="preserve">la limitante será aplicable </w:t>
      </w:r>
      <w:r w:rsidR="00BB149B" w:rsidRPr="00BD02B4">
        <w:rPr>
          <w:rFonts w:cs="Arial"/>
          <w:sz w:val="28"/>
          <w:szCs w:val="28"/>
        </w:rPr>
        <w:t xml:space="preserve">cuando </w:t>
      </w:r>
      <w:r w:rsidR="00365E77" w:rsidRPr="00BD02B4">
        <w:rPr>
          <w:rFonts w:cs="Arial"/>
          <w:sz w:val="28"/>
          <w:szCs w:val="28"/>
        </w:rPr>
        <w:t xml:space="preserve">los intereses devengados excedan de veinte millones, </w:t>
      </w:r>
      <w:r w:rsidR="006F698D" w:rsidRPr="00BD02B4">
        <w:rPr>
          <w:rFonts w:cs="Arial"/>
          <w:sz w:val="28"/>
          <w:szCs w:val="28"/>
        </w:rPr>
        <w:t xml:space="preserve">en conjunto </w:t>
      </w:r>
      <w:r w:rsidR="00856A81" w:rsidRPr="00BD02B4">
        <w:rPr>
          <w:rFonts w:cs="Arial"/>
          <w:sz w:val="28"/>
          <w:szCs w:val="28"/>
        </w:rPr>
        <w:t>a las personas morales que</w:t>
      </w:r>
      <w:r w:rsidR="00954CC9" w:rsidRPr="00BD02B4">
        <w:rPr>
          <w:rFonts w:cs="Arial"/>
          <w:sz w:val="28"/>
          <w:szCs w:val="28"/>
        </w:rPr>
        <w:t xml:space="preserve"> pertenezcan a un mismo grupo o sean partes relacionadas</w:t>
      </w:r>
      <w:r w:rsidR="006B7963" w:rsidRPr="00BD02B4">
        <w:rPr>
          <w:rFonts w:cs="Arial"/>
          <w:sz w:val="28"/>
          <w:szCs w:val="28"/>
        </w:rPr>
        <w:t>, repartiéndose entre éstas en la proporción de los ingresos acumulables generados durante el ejercicio anterior</w:t>
      </w:r>
      <w:r w:rsidR="00987515" w:rsidRPr="00BD02B4">
        <w:rPr>
          <w:rFonts w:cs="Arial"/>
          <w:sz w:val="28"/>
          <w:szCs w:val="28"/>
        </w:rPr>
        <w:t>, no implica que la limitante a la deducción se base en dichos ingresos</w:t>
      </w:r>
      <w:r w:rsidR="000C01A4" w:rsidRPr="00BD02B4">
        <w:rPr>
          <w:rFonts w:cs="Arial"/>
          <w:sz w:val="28"/>
          <w:szCs w:val="28"/>
        </w:rPr>
        <w:t xml:space="preserve">, </w:t>
      </w:r>
      <w:r w:rsidR="005F3718" w:rsidRPr="00BD02B4">
        <w:rPr>
          <w:rFonts w:cs="Arial"/>
          <w:sz w:val="28"/>
          <w:szCs w:val="28"/>
        </w:rPr>
        <w:t xml:space="preserve">pues </w:t>
      </w:r>
      <w:r w:rsidR="00DA3223" w:rsidRPr="00BD02B4">
        <w:rPr>
          <w:rFonts w:cs="Arial"/>
          <w:sz w:val="28"/>
          <w:szCs w:val="28"/>
        </w:rPr>
        <w:t xml:space="preserve">para calcularla </w:t>
      </w:r>
      <w:r w:rsidR="005F3718" w:rsidRPr="00BD02B4">
        <w:rPr>
          <w:rFonts w:cs="Arial"/>
          <w:sz w:val="28"/>
          <w:szCs w:val="28"/>
        </w:rPr>
        <w:t>se aplicará la fórmula señalada en el primer párrafo de la fracción impugnada, esto es multiplicar la utilidad fiscal ajustada</w:t>
      </w:r>
      <w:r w:rsidR="00E64EAE" w:rsidRPr="00BD02B4">
        <w:rPr>
          <w:rFonts w:cs="Arial"/>
          <w:sz w:val="28"/>
          <w:szCs w:val="28"/>
        </w:rPr>
        <w:t xml:space="preserve"> de cada persona moral</w:t>
      </w:r>
      <w:r w:rsidR="005F3718" w:rsidRPr="00BD02B4">
        <w:rPr>
          <w:rFonts w:cs="Arial"/>
          <w:sz w:val="28"/>
          <w:szCs w:val="28"/>
        </w:rPr>
        <w:t xml:space="preserve"> por el 30%. </w:t>
      </w:r>
    </w:p>
    <w:p w14:paraId="2458FF95" w14:textId="77777777" w:rsidR="005F3718" w:rsidRPr="00BD02B4" w:rsidRDefault="005F3718" w:rsidP="005F3718">
      <w:pPr>
        <w:pStyle w:val="Prrafodelista"/>
        <w:rPr>
          <w:rFonts w:cs="Arial"/>
          <w:sz w:val="28"/>
          <w:szCs w:val="28"/>
        </w:rPr>
      </w:pPr>
    </w:p>
    <w:p w14:paraId="35BCBADA" w14:textId="0695B088" w:rsidR="005F3718" w:rsidRPr="00BD02B4" w:rsidRDefault="005F3718"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Esto es, </w:t>
      </w:r>
      <w:r w:rsidR="00004DB1" w:rsidRPr="00BD02B4">
        <w:rPr>
          <w:rFonts w:cs="Arial"/>
          <w:sz w:val="28"/>
          <w:szCs w:val="28"/>
        </w:rPr>
        <w:t xml:space="preserve">el monto de los ingresos del ejercicio anterior sólo es utilizado para la distribución de </w:t>
      </w:r>
      <w:r w:rsidR="000654BC" w:rsidRPr="00BD02B4">
        <w:rPr>
          <w:rFonts w:cs="Arial"/>
          <w:sz w:val="28"/>
          <w:szCs w:val="28"/>
        </w:rPr>
        <w:t>los veinte millones</w:t>
      </w:r>
      <w:r w:rsidR="00BA1F01" w:rsidRPr="00BD02B4">
        <w:rPr>
          <w:rFonts w:cs="Arial"/>
          <w:sz w:val="28"/>
          <w:szCs w:val="28"/>
        </w:rPr>
        <w:t xml:space="preserve"> entre </w:t>
      </w:r>
      <w:r w:rsidR="002E5DDC" w:rsidRPr="00BD02B4">
        <w:rPr>
          <w:rFonts w:cs="Arial"/>
          <w:sz w:val="28"/>
          <w:szCs w:val="28"/>
        </w:rPr>
        <w:t>las personas morales que conforman el grupo</w:t>
      </w:r>
      <w:r w:rsidR="00E82561" w:rsidRPr="00BD02B4">
        <w:rPr>
          <w:rFonts w:cs="Arial"/>
          <w:sz w:val="28"/>
          <w:szCs w:val="28"/>
        </w:rPr>
        <w:t xml:space="preserve"> o son partes relacionadas</w:t>
      </w:r>
      <w:r w:rsidR="000654BC" w:rsidRPr="00BD02B4">
        <w:rPr>
          <w:rFonts w:cs="Arial"/>
          <w:sz w:val="28"/>
          <w:szCs w:val="28"/>
        </w:rPr>
        <w:t xml:space="preserve">, </w:t>
      </w:r>
      <w:r w:rsidR="006507DE" w:rsidRPr="00BD02B4">
        <w:rPr>
          <w:rFonts w:cs="Arial"/>
          <w:sz w:val="28"/>
          <w:szCs w:val="28"/>
        </w:rPr>
        <w:t>a fin de que la cantidad resultante sirva</w:t>
      </w:r>
      <w:r w:rsidR="000654BC" w:rsidRPr="00BD02B4">
        <w:rPr>
          <w:rFonts w:cs="Arial"/>
          <w:sz w:val="28"/>
          <w:szCs w:val="28"/>
        </w:rPr>
        <w:t xml:space="preserve"> como </w:t>
      </w:r>
      <w:r w:rsidR="008217FC" w:rsidRPr="00BD02B4">
        <w:rPr>
          <w:rFonts w:cs="Arial"/>
          <w:sz w:val="28"/>
          <w:szCs w:val="28"/>
        </w:rPr>
        <w:t>pará</w:t>
      </w:r>
      <w:r w:rsidR="0078099F" w:rsidRPr="00BD02B4">
        <w:rPr>
          <w:rFonts w:cs="Arial"/>
          <w:sz w:val="28"/>
          <w:szCs w:val="28"/>
        </w:rPr>
        <w:t xml:space="preserve">metro </w:t>
      </w:r>
      <w:r w:rsidR="000C37BA" w:rsidRPr="00BD02B4">
        <w:rPr>
          <w:rFonts w:cs="Arial"/>
          <w:sz w:val="28"/>
          <w:szCs w:val="28"/>
        </w:rPr>
        <w:t>para determinar a qui</w:t>
      </w:r>
      <w:r w:rsidR="00F144F1" w:rsidRPr="00BD02B4">
        <w:rPr>
          <w:rFonts w:cs="Arial"/>
          <w:sz w:val="28"/>
          <w:szCs w:val="28"/>
        </w:rPr>
        <w:t>é</w:t>
      </w:r>
      <w:r w:rsidR="000C37BA" w:rsidRPr="00BD02B4">
        <w:rPr>
          <w:rFonts w:cs="Arial"/>
          <w:sz w:val="28"/>
          <w:szCs w:val="28"/>
        </w:rPr>
        <w:t xml:space="preserve">nes aplicará la limitante del primer párrafo de la fracción impugnada. </w:t>
      </w:r>
      <w:r w:rsidR="0095469D" w:rsidRPr="00BD02B4">
        <w:rPr>
          <w:rFonts w:cs="Arial"/>
          <w:sz w:val="28"/>
          <w:szCs w:val="28"/>
        </w:rPr>
        <w:t xml:space="preserve">De ahí que, no es </w:t>
      </w:r>
      <w:r w:rsidR="0095469D" w:rsidRPr="00BD02B4">
        <w:rPr>
          <w:rFonts w:cs="Arial"/>
          <w:sz w:val="28"/>
          <w:szCs w:val="28"/>
        </w:rPr>
        <w:lastRenderedPageBreak/>
        <w:t>correct</w:t>
      </w:r>
      <w:r w:rsidR="000C4301" w:rsidRPr="00BD02B4">
        <w:rPr>
          <w:rFonts w:cs="Arial"/>
          <w:sz w:val="28"/>
          <w:szCs w:val="28"/>
        </w:rPr>
        <w:t xml:space="preserve">a la apreciación de la quejosa en el sentido de que la limitante a la deducción de intereses no está en función de las propias características de la persona moral de que se trate. </w:t>
      </w:r>
    </w:p>
    <w:p w14:paraId="54D16FB3" w14:textId="77777777" w:rsidR="008249A9" w:rsidRPr="00BD02B4" w:rsidRDefault="008249A9" w:rsidP="008249A9">
      <w:pPr>
        <w:pStyle w:val="Prrafodelista"/>
        <w:rPr>
          <w:rFonts w:cs="Arial"/>
          <w:sz w:val="28"/>
          <w:szCs w:val="28"/>
        </w:rPr>
      </w:pPr>
    </w:p>
    <w:p w14:paraId="16B264CB" w14:textId="36590B77" w:rsidR="008249A9" w:rsidRPr="00BD02B4" w:rsidRDefault="008249A9"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En otro orden de ideas, la quejosa señala que </w:t>
      </w:r>
      <w:r w:rsidR="00890364" w:rsidRPr="00BD02B4">
        <w:rPr>
          <w:rFonts w:cs="Arial"/>
          <w:sz w:val="28"/>
          <w:szCs w:val="28"/>
        </w:rPr>
        <w:t xml:space="preserve">el hecho de que no se le permita deducir </w:t>
      </w:r>
      <w:r w:rsidR="00566D1E" w:rsidRPr="00BD02B4">
        <w:rPr>
          <w:rFonts w:cs="Arial"/>
          <w:sz w:val="28"/>
          <w:szCs w:val="28"/>
        </w:rPr>
        <w:t>la totalidad de los intereses en el ejercicio ocasiona un doble impacto fiscal pues</w:t>
      </w:r>
      <w:r w:rsidR="00DB214B" w:rsidRPr="00BD02B4">
        <w:rPr>
          <w:rFonts w:cs="Arial"/>
          <w:sz w:val="28"/>
          <w:szCs w:val="28"/>
        </w:rPr>
        <w:t>to que aparte de calcular el impuesto sobre una base ficticia, se disminuirá indebidamente la cuenta de utilidad fiscal neta, lo que ocasionará que al momento de que distribuya dividendos o utilidades</w:t>
      </w:r>
      <w:r w:rsidR="00A265E4" w:rsidRPr="00BD02B4">
        <w:rPr>
          <w:rFonts w:cs="Arial"/>
          <w:sz w:val="28"/>
          <w:szCs w:val="28"/>
        </w:rPr>
        <w:t xml:space="preserve"> se cause un impuesto mayor al que corresponda, argumento que debe desestimarse</w:t>
      </w:r>
      <w:r w:rsidR="006D3EE3" w:rsidRPr="00BD02B4">
        <w:rPr>
          <w:rFonts w:cs="Arial"/>
          <w:sz w:val="28"/>
          <w:szCs w:val="28"/>
        </w:rPr>
        <w:t xml:space="preserve"> por </w:t>
      </w:r>
      <w:r w:rsidR="006D3EE3" w:rsidRPr="00BD02B4">
        <w:rPr>
          <w:rFonts w:cs="Arial"/>
          <w:b/>
          <w:bCs/>
          <w:sz w:val="28"/>
          <w:szCs w:val="28"/>
        </w:rPr>
        <w:t>inoperante</w:t>
      </w:r>
      <w:r w:rsidR="006D3EE3" w:rsidRPr="00BD02B4">
        <w:rPr>
          <w:rFonts w:cs="Arial"/>
          <w:sz w:val="28"/>
          <w:szCs w:val="28"/>
        </w:rPr>
        <w:t>,</w:t>
      </w:r>
      <w:r w:rsidR="00A265E4" w:rsidRPr="00BD02B4">
        <w:rPr>
          <w:rFonts w:cs="Arial"/>
          <w:sz w:val="28"/>
          <w:szCs w:val="28"/>
        </w:rPr>
        <w:t xml:space="preserve"> toda vez que parte de una situación hipotética </w:t>
      </w:r>
      <w:r w:rsidR="00A3167E" w:rsidRPr="00BD02B4">
        <w:rPr>
          <w:rFonts w:cs="Arial"/>
          <w:sz w:val="28"/>
          <w:szCs w:val="28"/>
        </w:rPr>
        <w:t xml:space="preserve">pues </w:t>
      </w:r>
      <w:r w:rsidR="00C065B0" w:rsidRPr="00BD02B4">
        <w:rPr>
          <w:rFonts w:cs="Arial"/>
          <w:sz w:val="28"/>
          <w:szCs w:val="28"/>
        </w:rPr>
        <w:t>su argumentación está supeditada al hecho de que se distribuyan dividendos en el mismo ejercicio en que resulte afectada la cuenta de utilidad fiscal neta por el diferimiento de la deducción</w:t>
      </w:r>
      <w:r w:rsidR="003352E2" w:rsidRPr="00BD02B4">
        <w:rPr>
          <w:rFonts w:cs="Arial"/>
          <w:sz w:val="28"/>
          <w:szCs w:val="28"/>
        </w:rPr>
        <w:t xml:space="preserve"> de intereses, máxime que, en todo caso, dicha afectación</w:t>
      </w:r>
      <w:r w:rsidR="00C47226" w:rsidRPr="00BD02B4">
        <w:rPr>
          <w:rFonts w:cs="Arial"/>
          <w:sz w:val="28"/>
          <w:szCs w:val="28"/>
        </w:rPr>
        <w:t xml:space="preserve"> es temporal, pues la deducción de los intereses se podrá realizar en los ejercicios siguientes con </w:t>
      </w:r>
      <w:r w:rsidR="00964BEE" w:rsidRPr="00BD02B4">
        <w:rPr>
          <w:rFonts w:cs="Arial"/>
          <w:sz w:val="28"/>
          <w:szCs w:val="28"/>
        </w:rPr>
        <w:t xml:space="preserve">el correspondiente ajuste a dicha cuenta de utilidad fiscal neta. </w:t>
      </w:r>
      <w:r w:rsidR="003352E2" w:rsidRPr="00BD02B4">
        <w:rPr>
          <w:rFonts w:cs="Arial"/>
          <w:sz w:val="28"/>
          <w:szCs w:val="28"/>
        </w:rPr>
        <w:t xml:space="preserve"> </w:t>
      </w:r>
    </w:p>
    <w:p w14:paraId="258DDC61" w14:textId="77777777" w:rsidR="0095469D" w:rsidRPr="00BD02B4" w:rsidRDefault="0095469D" w:rsidP="0095469D">
      <w:pPr>
        <w:pStyle w:val="Prrafodelista"/>
        <w:rPr>
          <w:rFonts w:cs="Arial"/>
          <w:sz w:val="28"/>
          <w:szCs w:val="28"/>
        </w:rPr>
      </w:pPr>
    </w:p>
    <w:p w14:paraId="1D9ADEF3" w14:textId="52E06D79" w:rsidR="005C1229" w:rsidRPr="00BD02B4" w:rsidRDefault="00964BEE" w:rsidP="00B7124F">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resulta inoperante la </w:t>
      </w:r>
      <w:r w:rsidR="006D0E71" w:rsidRPr="00BD02B4">
        <w:rPr>
          <w:rFonts w:cs="Arial"/>
          <w:sz w:val="28"/>
          <w:szCs w:val="28"/>
        </w:rPr>
        <w:t>aseveración relativa a que cuando un contribuyente tenga pérdida fiscal no podrá deducir la totalidad de</w:t>
      </w:r>
      <w:r w:rsidR="00A94560" w:rsidRPr="00BD02B4">
        <w:rPr>
          <w:rFonts w:cs="Arial"/>
          <w:sz w:val="28"/>
          <w:szCs w:val="28"/>
        </w:rPr>
        <w:t xml:space="preserve"> </w:t>
      </w:r>
      <w:r w:rsidR="006D0E71" w:rsidRPr="00BD02B4">
        <w:rPr>
          <w:rFonts w:cs="Arial"/>
          <w:sz w:val="28"/>
          <w:szCs w:val="28"/>
        </w:rPr>
        <w:t>los intereses devengados o su parte proporcional, pues parte de una situación particular e hipotética.</w:t>
      </w:r>
      <w:r w:rsidR="00CF03E7" w:rsidRPr="00BD02B4">
        <w:rPr>
          <w:rStyle w:val="Refdenotaalpie"/>
          <w:rFonts w:cs="Arial"/>
          <w:sz w:val="24"/>
          <w:szCs w:val="24"/>
        </w:rPr>
        <w:footnoteReference w:id="20"/>
      </w:r>
      <w:r w:rsidR="006D0E71" w:rsidRPr="00BD02B4">
        <w:rPr>
          <w:rFonts w:cs="Arial"/>
          <w:sz w:val="24"/>
          <w:szCs w:val="24"/>
        </w:rPr>
        <w:t xml:space="preserve"> </w:t>
      </w:r>
    </w:p>
    <w:p w14:paraId="455209D1"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74F6260" w14:textId="77777777" w:rsidR="00D4572B" w:rsidRPr="00BD02B4" w:rsidRDefault="00D4572B" w:rsidP="00004076">
      <w:pPr>
        <w:pStyle w:val="corte4fondo"/>
        <w:numPr>
          <w:ilvl w:val="0"/>
          <w:numId w:val="5"/>
        </w:numPr>
        <w:ind w:left="0" w:right="-232" w:hanging="567"/>
        <w:contextualSpacing/>
        <w:rPr>
          <w:rFonts w:eastAsia="Calibri" w:cs="Arial"/>
          <w:sz w:val="28"/>
          <w:szCs w:val="28"/>
          <w:lang w:val="es-MX"/>
        </w:rPr>
      </w:pPr>
      <w:r w:rsidRPr="00BD02B4">
        <w:rPr>
          <w:rFonts w:eastAsia="Calibri" w:cs="Arial"/>
          <w:sz w:val="28"/>
          <w:szCs w:val="28"/>
          <w:lang w:val="es-MX"/>
        </w:rPr>
        <w:t xml:space="preserve">Por las razones previamente expuestas, este Tribunal Constitucional considera que la limitante para deducir los intereses netos contenida en el artículo 28, fracción XXXII, de la Ley del Impuesto sobre la Renta, </w:t>
      </w:r>
      <w:r w:rsidRPr="00BD02B4">
        <w:rPr>
          <w:rFonts w:eastAsia="Calibri" w:cs="Arial"/>
          <w:sz w:val="28"/>
          <w:szCs w:val="28"/>
          <w:lang w:val="es-MX"/>
        </w:rPr>
        <w:lastRenderedPageBreak/>
        <w:t>vigente a partir del uno de enero de dos mil veinte, cumple con los parámetros de razonabilidad y, por ende, no transgrede el principio de proporcionalidad tributaria.</w:t>
      </w:r>
    </w:p>
    <w:p w14:paraId="4B3B91A4" w14:textId="77777777" w:rsidR="00D4572B" w:rsidRPr="00BD02B4" w:rsidRDefault="00D4572B" w:rsidP="00004076">
      <w:pPr>
        <w:pStyle w:val="corte4fondo"/>
        <w:ind w:right="-232" w:firstLine="0"/>
        <w:contextualSpacing/>
        <w:rPr>
          <w:rFonts w:cs="Arial"/>
          <w:sz w:val="28"/>
          <w:szCs w:val="28"/>
        </w:rPr>
      </w:pPr>
    </w:p>
    <w:p w14:paraId="474F0CEE" w14:textId="77777777" w:rsidR="00D4572B" w:rsidRPr="00BD02B4" w:rsidRDefault="00D4572B" w:rsidP="00004076">
      <w:pPr>
        <w:pStyle w:val="corte4fondo"/>
        <w:numPr>
          <w:ilvl w:val="0"/>
          <w:numId w:val="5"/>
        </w:numPr>
        <w:ind w:left="0" w:right="-232" w:hanging="567"/>
        <w:contextualSpacing/>
        <w:rPr>
          <w:rFonts w:cs="Arial"/>
          <w:b/>
          <w:bCs/>
          <w:sz w:val="28"/>
          <w:szCs w:val="28"/>
        </w:rPr>
      </w:pPr>
      <w:r w:rsidRPr="00BD02B4">
        <w:rPr>
          <w:rFonts w:cs="Arial"/>
          <w:b/>
          <w:bCs/>
          <w:sz w:val="28"/>
          <w:szCs w:val="28"/>
        </w:rPr>
        <w:t>Análisis de la violación al principio de equidad tributaria.</w:t>
      </w:r>
    </w:p>
    <w:p w14:paraId="3EAFE3D2" w14:textId="77777777" w:rsidR="00D4572B" w:rsidRPr="00BD02B4" w:rsidRDefault="00D4572B" w:rsidP="00004076">
      <w:pPr>
        <w:pStyle w:val="corte4fondo"/>
        <w:ind w:right="-232" w:firstLine="0"/>
        <w:rPr>
          <w:rFonts w:cs="Arial"/>
          <w:sz w:val="28"/>
          <w:szCs w:val="28"/>
        </w:rPr>
      </w:pPr>
    </w:p>
    <w:p w14:paraId="7CC3D590" w14:textId="5E0ED09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el tercer concepto de violación la quejosa afirma que se vulnera el principio de equidad tributaria, al establecer un trato distinto entre personas morales que integran o no un grupo societario o tienen partes relacionadas. Refiere que el legislador da un trato distinto a los grupos societarios pues les obliga a fragmentar la cantidad de $20´000,000.00 </w:t>
      </w:r>
      <w:r w:rsidR="00185391" w:rsidRPr="00BD02B4">
        <w:rPr>
          <w:rFonts w:cs="Arial"/>
          <w:bCs/>
          <w:iCs/>
          <w:sz w:val="28"/>
          <w:szCs w:val="28"/>
        </w:rPr>
        <w:t xml:space="preserve">(veinte millones de pesos 00/100 moneda nacional) </w:t>
      </w:r>
      <w:r w:rsidRPr="00BD02B4">
        <w:rPr>
          <w:rFonts w:cs="Arial"/>
          <w:sz w:val="28"/>
          <w:szCs w:val="28"/>
        </w:rPr>
        <w:t xml:space="preserve">para determinar los intereses netos no deducibles mientras que a las empresas que no forman parte de un grupo ni tienen partes relacionadas les aplica de manera integral la cantidad mencionada. </w:t>
      </w:r>
    </w:p>
    <w:p w14:paraId="7FE4F3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D527EA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concepto de violación es </w:t>
      </w:r>
      <w:r w:rsidRPr="00BD02B4">
        <w:rPr>
          <w:rFonts w:cs="Arial"/>
          <w:b/>
          <w:bCs/>
          <w:sz w:val="28"/>
          <w:szCs w:val="28"/>
        </w:rPr>
        <w:t>infundado.</w:t>
      </w:r>
      <w:r w:rsidRPr="00BD02B4">
        <w:rPr>
          <w:rFonts w:cs="Arial"/>
          <w:sz w:val="28"/>
          <w:szCs w:val="28"/>
        </w:rPr>
        <w:t xml:space="preserve"> </w:t>
      </w:r>
    </w:p>
    <w:p w14:paraId="30D0F2FB" w14:textId="225C48A1" w:rsidR="00D4572B" w:rsidRPr="00BD02B4" w:rsidRDefault="00D4572B" w:rsidP="00004076">
      <w:pPr>
        <w:pStyle w:val="Prrafodelista"/>
        <w:spacing w:line="360" w:lineRule="auto"/>
        <w:ind w:left="0" w:right="-232"/>
        <w:jc w:val="both"/>
        <w:rPr>
          <w:rFonts w:ascii="Arial" w:hAnsi="Arial" w:cs="Arial"/>
          <w:sz w:val="28"/>
          <w:szCs w:val="28"/>
        </w:rPr>
      </w:pPr>
    </w:p>
    <w:p w14:paraId="5B0650C3" w14:textId="77777777" w:rsidR="00D4572B" w:rsidRPr="00BD02B4" w:rsidRDefault="00D4572B" w:rsidP="00004076">
      <w:pPr>
        <w:pStyle w:val="corte4fondo"/>
        <w:numPr>
          <w:ilvl w:val="0"/>
          <w:numId w:val="5"/>
        </w:numPr>
        <w:ind w:left="0" w:right="-232" w:hanging="567"/>
        <w:contextualSpacing/>
        <w:rPr>
          <w:rFonts w:eastAsiaTheme="minorHAnsi" w:cs="Arial"/>
          <w:sz w:val="28"/>
          <w:szCs w:val="28"/>
        </w:rPr>
      </w:pPr>
      <w:r w:rsidRPr="00BD02B4">
        <w:rPr>
          <w:rFonts w:cs="Arial"/>
          <w:sz w:val="28"/>
          <w:szCs w:val="28"/>
        </w:rPr>
        <w:t>Debe tenerse presente que este Alto Tribunal, ha desarrollado una amplia doctrina jurisprudencial en la que se ha encargado de delinear el contenido del principio de equidad tributaria, estableciéndose que la misma radica en la igualdad ante la misma ley tributaria de todos los sujetos pasivos de un mismo gravamen que se ubiquen en condiciones iguales; en tal caso deben recibir un tratamiento idéntico en lo concerniente a hipótesis de causación, acumulación de ingresos gravables, deducciones permitidas, plazos de pago, etcétera, de lo cual se deriva, en síntesis, que los contribuyentes de un mismo impuesto deben guardar una situación de igualdad frente a la norma jurídica que lo establece y regula.</w:t>
      </w:r>
      <w:r w:rsidRPr="00BD02B4">
        <w:rPr>
          <w:rStyle w:val="Refdenotaalpie"/>
          <w:rFonts w:cs="Arial"/>
          <w:sz w:val="28"/>
          <w:szCs w:val="28"/>
        </w:rPr>
        <w:footnoteReference w:id="21"/>
      </w:r>
    </w:p>
    <w:p w14:paraId="1C5530EB" w14:textId="77777777" w:rsidR="00D4572B" w:rsidRPr="00BD02B4" w:rsidRDefault="00D4572B" w:rsidP="00004076">
      <w:pPr>
        <w:pStyle w:val="TEXTONORMAL"/>
        <w:ind w:right="-232" w:hanging="567"/>
        <w:rPr>
          <w:rFonts w:cs="Arial"/>
          <w:szCs w:val="28"/>
        </w:rPr>
      </w:pPr>
    </w:p>
    <w:p w14:paraId="0B426650"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Desde este punto de partida, la Suprema Corte de Justicia de la Nación ha tenido oportunidad de precisar progresivamente su alcance, y en esta evolución ha señalado que la misma resulta aplicable al establecimiento, a través de un texto formal y materialmente legislativo, de las contribuciones, así como de las obligaciones materialmente recaudatorias vinculadas a la potestad tributaria.</w:t>
      </w:r>
    </w:p>
    <w:p w14:paraId="0D5BD4B8" w14:textId="77777777" w:rsidR="00D4572B" w:rsidRPr="00BD02B4" w:rsidRDefault="00D4572B" w:rsidP="00004076">
      <w:pPr>
        <w:pStyle w:val="TEXTONORMAL"/>
        <w:ind w:right="-232" w:hanging="567"/>
        <w:rPr>
          <w:rFonts w:cs="Arial"/>
          <w:szCs w:val="28"/>
        </w:rPr>
      </w:pPr>
    </w:p>
    <w:p w14:paraId="16FC5F8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los diversos criterios sustentados por el Pleno y las Salas de este Alto Tribunal, se desprende que el contenido de la garantía de equidad requiere que los sujetos de una misma contribución guarden una situación de igualdad frente a la norma jurídica que establece y regula el gravamen.</w:t>
      </w:r>
    </w:p>
    <w:p w14:paraId="6AE978DC" w14:textId="77777777" w:rsidR="00D4572B" w:rsidRPr="00BD02B4" w:rsidRDefault="00D4572B" w:rsidP="00004076">
      <w:pPr>
        <w:pStyle w:val="corte4fondo"/>
        <w:ind w:right="-232" w:hanging="567"/>
        <w:rPr>
          <w:rFonts w:cs="Arial"/>
          <w:sz w:val="28"/>
          <w:szCs w:val="28"/>
        </w:rPr>
      </w:pPr>
    </w:p>
    <w:p w14:paraId="19CE80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esta manera, el modo en que este Alto Tribunal ha delimitado el ámbito específico de aplicación de la garantía de equidad tributaria, haciendo necesario su estudio cuando se trata de normas que refieren a contribuciones, exenciones o a la delimitación de obligaciones materialmente recaudatorias, en cambio, </w:t>
      </w:r>
      <w:r w:rsidRPr="00BD02B4">
        <w:rPr>
          <w:rFonts w:cs="Arial"/>
          <w:bCs/>
          <w:sz w:val="28"/>
          <w:szCs w:val="28"/>
        </w:rPr>
        <w:t>los argumentos que denuncian la existencia de un trato diferenciado o discriminatorio entre dos personas o grupos, deben ser analizados en el contexto más amplio que corresponde a la garantía de igualdad.</w:t>
      </w:r>
    </w:p>
    <w:p w14:paraId="221D6896" w14:textId="77777777" w:rsidR="00D4572B" w:rsidRPr="00BD02B4" w:rsidRDefault="00D4572B" w:rsidP="00004076">
      <w:pPr>
        <w:pStyle w:val="TEXTONORMAL"/>
        <w:ind w:right="-232" w:hanging="567"/>
        <w:rPr>
          <w:rFonts w:cs="Arial"/>
          <w:szCs w:val="28"/>
        </w:rPr>
      </w:pPr>
    </w:p>
    <w:p w14:paraId="5D420F1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Con base en los argumentos hasta aquí expuestos, esta Sala estima que no le asiste la razón a la parte quejosa cuando señala que, la fracción XXXII del artículo 28 de la Ley del Impuesto sobre la Renta genera un trato inequitativo entre contribuyentes que tienen partes relacionadas o pertenecen a un mismo grupo respecto de aquellas personas morales que tributan de manera individual.</w:t>
      </w:r>
    </w:p>
    <w:p w14:paraId="4A48F171" w14:textId="77777777" w:rsidR="00D4572B" w:rsidRPr="00BD02B4" w:rsidRDefault="00D4572B" w:rsidP="00004076">
      <w:pPr>
        <w:pStyle w:val="TEXTONORMAL"/>
        <w:ind w:right="-232" w:hanging="567"/>
        <w:rPr>
          <w:rFonts w:cs="Arial"/>
          <w:szCs w:val="28"/>
        </w:rPr>
      </w:pPr>
    </w:p>
    <w:p w14:paraId="6B6355F6"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Al respecto, es conveniente reiterar el contenido del párrafo segundo de la fracción impugnada:</w:t>
      </w:r>
    </w:p>
    <w:p w14:paraId="5CE5BD5F" w14:textId="77777777" w:rsidR="00D4572B" w:rsidRPr="00BD02B4" w:rsidRDefault="00D4572B" w:rsidP="00004076">
      <w:pPr>
        <w:pStyle w:val="TEXTONORMAL"/>
        <w:ind w:right="-232" w:firstLine="0"/>
        <w:rPr>
          <w:rFonts w:cs="Arial"/>
          <w:szCs w:val="28"/>
        </w:rPr>
      </w:pPr>
    </w:p>
    <w:p w14:paraId="749EBADA" w14:textId="1DFCD110" w:rsidR="00D4572B" w:rsidRPr="00BD02B4" w:rsidRDefault="00D4572B" w:rsidP="00004076">
      <w:pPr>
        <w:pStyle w:val="TEXTONORMAL"/>
        <w:spacing w:line="240" w:lineRule="auto"/>
        <w:ind w:left="567" w:right="-232" w:firstLine="0"/>
        <w:contextualSpacing/>
        <w:rPr>
          <w:rFonts w:cs="Arial"/>
          <w:sz w:val="26"/>
          <w:szCs w:val="26"/>
        </w:rPr>
      </w:pPr>
      <w:r w:rsidRPr="00BD02B4">
        <w:rPr>
          <w:rFonts w:cs="Arial"/>
          <w:sz w:val="26"/>
          <w:szCs w:val="26"/>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w:t>
      </w:r>
      <w:r w:rsidR="002746BB" w:rsidRPr="00BD02B4">
        <w:rPr>
          <w:rFonts w:cs="Arial"/>
          <w:sz w:val="26"/>
          <w:szCs w:val="26"/>
        </w:rPr>
        <w:t xml:space="preserve"> </w:t>
      </w:r>
      <w:hyperlink r:id="rId14" w:history="1">
        <w:r w:rsidRPr="00BD02B4">
          <w:rPr>
            <w:sz w:val="26"/>
            <w:szCs w:val="26"/>
          </w:rPr>
          <w:t>artículo 24 de esta Ley</w:t>
        </w:r>
      </w:hyperlink>
      <w:r w:rsidRPr="00BD02B4">
        <w:rPr>
          <w:rFonts w:cs="Arial"/>
          <w:sz w:val="26"/>
          <w:szCs w:val="26"/>
        </w:rPr>
        <w:t>. Esta cantidad se repartirá entre las personas miembros del grupo o partes relacionadas, en la proporción de los ingresos acumulables generados durante el ejercicio anterior por los contribuyentes a los que les aplica esta fracción.”</w:t>
      </w:r>
    </w:p>
    <w:p w14:paraId="08733921" w14:textId="77777777" w:rsidR="00D4572B" w:rsidRPr="00BD02B4" w:rsidRDefault="00D4572B" w:rsidP="00004076">
      <w:pPr>
        <w:pStyle w:val="corte4fondo"/>
        <w:widowControl w:val="0"/>
        <w:ind w:right="-232" w:hanging="567"/>
        <w:rPr>
          <w:rFonts w:cs="Arial"/>
          <w:color w:val="333333"/>
          <w:sz w:val="28"/>
          <w:szCs w:val="28"/>
        </w:rPr>
      </w:pPr>
    </w:p>
    <w:p w14:paraId="47636B3F" w14:textId="6121D4A8"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determinar el monto de intereses netos no deducibles el legislador fijó en este párrafo quienes son los sujetos obligados, previendo en un primer momento a los contribuyentes cuyos intereses devengados -provenientes de deudas- excedan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esta primera afirmación permite advertir que las personas morales que tributen en términos del Título II deben seguir el procedimiento contenido en la porción reclamada a fin de determinar la cantidad deducible en el ejercicio.</w:t>
      </w:r>
    </w:p>
    <w:p w14:paraId="4C163BEF" w14:textId="77777777" w:rsidR="00D4572B" w:rsidRPr="00BD02B4" w:rsidRDefault="00D4572B" w:rsidP="00004076">
      <w:pPr>
        <w:pStyle w:val="corte4fondo"/>
        <w:widowControl w:val="0"/>
        <w:ind w:right="-232" w:hanging="567"/>
        <w:rPr>
          <w:rFonts w:cs="Arial"/>
          <w:sz w:val="28"/>
          <w:szCs w:val="28"/>
        </w:rPr>
      </w:pPr>
    </w:p>
    <w:p w14:paraId="0C0616D2" w14:textId="0959F7A1"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segunda cuestión, el emisor de la norma estableció que -tratándose de grupos de sociedades-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aplica de manera conjunta a todas las personas morales sujetas al régimen general y establecimientos permanentes de residentes en el extranjero que pertenezcan a un mismo grupo o que sean partes relacionadas.</w:t>
      </w:r>
    </w:p>
    <w:p w14:paraId="60A62558" w14:textId="77777777" w:rsidR="00D4572B" w:rsidRPr="00BD02B4" w:rsidRDefault="00D4572B" w:rsidP="00004076">
      <w:pPr>
        <w:pStyle w:val="Prrafodelista"/>
        <w:widowControl w:val="0"/>
        <w:spacing w:line="360" w:lineRule="auto"/>
        <w:ind w:left="0" w:right="-232" w:hanging="567"/>
        <w:jc w:val="both"/>
        <w:rPr>
          <w:rFonts w:ascii="Arial" w:hAnsi="Arial" w:cs="Arial"/>
          <w:sz w:val="28"/>
          <w:szCs w:val="28"/>
        </w:rPr>
      </w:pPr>
    </w:p>
    <w:p w14:paraId="60F37D81" w14:textId="5E5A1B7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Entonces, tenemos que la disposición impugnada incide en la esfera jurídica de las personas morales que tributando en términos del Título II de la </w:t>
      </w:r>
      <w:r w:rsidR="00F144F1" w:rsidRPr="00BD02B4">
        <w:rPr>
          <w:rFonts w:cs="Arial"/>
          <w:sz w:val="28"/>
          <w:szCs w:val="28"/>
        </w:rPr>
        <w:t>L</w:t>
      </w:r>
      <w:r w:rsidRPr="00BD02B4">
        <w:rPr>
          <w:rFonts w:cs="Arial"/>
          <w:sz w:val="28"/>
          <w:szCs w:val="28"/>
        </w:rPr>
        <w:t xml:space="preserve">ey del Impuesto sobre la Renta no pertenezcan a grupo alguno ni tengan partes relacionadas, del mismo modo incide en los grupos de sociedades y establecimientos permanentes de residentes en el extranjero que tributen conforme al Título II de la Ley del Impuesto sobre la Renta, así como a quienes sean partes relacionadas. </w:t>
      </w:r>
    </w:p>
    <w:p w14:paraId="7822A436" w14:textId="77777777" w:rsidR="00D4572B" w:rsidRPr="00BD02B4" w:rsidRDefault="00D4572B" w:rsidP="00004076">
      <w:pPr>
        <w:pStyle w:val="Prrafodelista"/>
        <w:ind w:right="-232"/>
        <w:rPr>
          <w:rFonts w:ascii="Arial" w:hAnsi="Arial" w:cs="Arial"/>
          <w:sz w:val="28"/>
          <w:szCs w:val="28"/>
        </w:rPr>
      </w:pPr>
    </w:p>
    <w:p w14:paraId="6402B07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Estos elementos permiten formular la siguiente interrogante ¿existe un trato diverso entre los contribuyentes que integran grupos societarios o </w:t>
      </w:r>
      <w:r w:rsidRPr="00BD02B4">
        <w:rPr>
          <w:rFonts w:cs="Arial"/>
          <w:sz w:val="28"/>
          <w:szCs w:val="28"/>
        </w:rPr>
        <w:lastRenderedPageBreak/>
        <w:t>tienen partes relacionadas respecto de personas morales que no cumplen dicha condición?</w:t>
      </w:r>
    </w:p>
    <w:p w14:paraId="5638A104"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558603D9"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Esta Primera Sala advierte que la respuesta a dicha interrogante es negativa, esto es, no existe trato desigual, por ello el argumento de la quejosa es </w:t>
      </w:r>
      <w:r w:rsidRPr="00BD02B4">
        <w:rPr>
          <w:rFonts w:cs="Arial"/>
          <w:b/>
          <w:bCs/>
          <w:sz w:val="28"/>
          <w:szCs w:val="28"/>
        </w:rPr>
        <w:t>infundado</w:t>
      </w:r>
      <w:r w:rsidRPr="00BD02B4">
        <w:rPr>
          <w:rFonts w:cs="Arial"/>
          <w:sz w:val="28"/>
          <w:szCs w:val="28"/>
        </w:rPr>
        <w:t>.</w:t>
      </w:r>
    </w:p>
    <w:p w14:paraId="114E7D2B" w14:textId="77777777" w:rsidR="00D4572B" w:rsidRPr="00BD02B4" w:rsidRDefault="00D4572B" w:rsidP="00004076">
      <w:pPr>
        <w:pStyle w:val="corte4fondo"/>
        <w:widowControl w:val="0"/>
        <w:ind w:right="-232" w:hanging="567"/>
        <w:rPr>
          <w:rFonts w:cs="Arial"/>
          <w:sz w:val="28"/>
          <w:szCs w:val="28"/>
        </w:rPr>
      </w:pPr>
    </w:p>
    <w:p w14:paraId="0B248C3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El principio de equidad tributaria reconocido en el artículo 31, fracción IV, de la Constitución Política de los Estados Unidos Mexicanos, exige al legislador tratar igual a los contribuyentes que se ubiquen en una situación idéntica y desigual a los que estén en situaciones disímiles.</w:t>
      </w:r>
    </w:p>
    <w:p w14:paraId="142449F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4F373C3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La equivalencia de la posición de un sujeto determinado con respecto a </w:t>
      </w:r>
      <w:proofErr w:type="gramStart"/>
      <w:r w:rsidRPr="00BD02B4">
        <w:rPr>
          <w:rFonts w:cs="Arial"/>
          <w:sz w:val="28"/>
          <w:szCs w:val="28"/>
        </w:rPr>
        <w:t>otro,</w:t>
      </w:r>
      <w:proofErr w:type="gramEnd"/>
      <w:r w:rsidRPr="00BD02B4">
        <w:rPr>
          <w:rFonts w:cs="Arial"/>
          <w:sz w:val="28"/>
          <w:szCs w:val="28"/>
        </w:rPr>
        <w:t xml:space="preserve"> debe apreciarse a partir de criterios objetivos, tales como su naturaleza jurídica, su estructura y cualidades objetivas, ya que sólo a través de dichos criterios se podría evitar justificar diferenciaciones caprichosas o subjetivas, respecto de contribuyentes que objetivamente están en la misma situación.</w:t>
      </w:r>
    </w:p>
    <w:p w14:paraId="150EB506"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704357E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Esta Suprema Corte ha reconocido que el legislador ordinario está habilitado para apreciar las cualidades objetivas del universo de contribuyentes, así para diseñar, en caso de advertir diferencias entre ellos, esquemas tributarios distintos que se adecuen a las particularidades de cada categoría de sujetos, toda vez que a través de dichas clasificaciones se garantiza el postulado de equidad tributaria, en su vertiente de que se debe tratar desigual a los contribuyentes que no se ubican en una situación idéntica.</w:t>
      </w:r>
    </w:p>
    <w:p w14:paraId="628F557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FCF74E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acuerdo con lo expuesto, esta Primera Sala estima que la norma reclamada no prevé distinción de trato, entre los sujetos previstos en el párrafo segundo de la fracción XXXII del precepto legal impugnado, pues </w:t>
      </w:r>
      <w:r w:rsidRPr="00BD02B4">
        <w:rPr>
          <w:rFonts w:cs="Arial"/>
          <w:sz w:val="28"/>
          <w:szCs w:val="28"/>
        </w:rPr>
        <w:lastRenderedPageBreak/>
        <w:t>esta disposición prevé por igual la limitante de no deducir en el ejercicio los intereses netos que excedan del monto que resulte de multiplicar la utilidad fiscal ajustada por el 30%.</w:t>
      </w:r>
    </w:p>
    <w:p w14:paraId="44C48940"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42D23318" w14:textId="469B2B3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Del mismo modo se advierte que los sujetos que son destinatarios de la disposición impugnada deben determinar por igual el procedimiento para identificar los intereses netos, la utilidad fiscal ajustada, y los intereses que no sean deducibles. En el mismo sentido se advierte que el legislador federal previó de manera general que el límite de intereses devengados para aplicar lo dispuesto en la fracción controvertida es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sin que se desprenda con base en estos elementos que la Ley contemple un trato diferenciado que implique violación a la garantía de equidad tributaria como se alega en la demanda de amparo.</w:t>
      </w:r>
    </w:p>
    <w:p w14:paraId="14FEE734"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0F68129B" w14:textId="3C5EB746" w:rsidR="00E73B4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No se soslaya que el legislador haya establecido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debe repartirse si se trata de grupos de empresas, lo que implica que las sociedades que no tengan esta característica puedan aplicar el procedimiento hasta por la citada cantidad, sin embargo, tal situación es atribuible a las situaciones particulares de cada contribuyente</w:t>
      </w:r>
      <w:r w:rsidR="00390905" w:rsidRPr="00BD02B4">
        <w:rPr>
          <w:rFonts w:cs="Arial"/>
          <w:sz w:val="28"/>
          <w:szCs w:val="28"/>
        </w:rPr>
        <w:t>, por lo que en su caso su argumento resultaría inoperante</w:t>
      </w:r>
      <w:r w:rsidR="00E73B4B" w:rsidRPr="00BD02B4">
        <w:rPr>
          <w:rFonts w:cs="Arial"/>
          <w:sz w:val="28"/>
          <w:szCs w:val="28"/>
        </w:rPr>
        <w:t xml:space="preserve">, </w:t>
      </w:r>
      <w:r w:rsidR="00E73B4B" w:rsidRPr="00BD02B4">
        <w:rPr>
          <w:rFonts w:cs="Arial"/>
          <w:bCs/>
          <w:sz w:val="28"/>
          <w:szCs w:val="28"/>
        </w:rPr>
        <w:t>pues dicha argumentación se hace depender de su situación particular, empero la constitucionalidad o inconstitucionalidad de una norma general deriva de sus propias características, en razón de todos sus destinatarios y no de la hipótesis o atributos de alguno en particular.</w:t>
      </w:r>
      <w:r w:rsidR="00BD7997" w:rsidRPr="00BD02B4">
        <w:rPr>
          <w:rFonts w:cs="Arial"/>
          <w:bCs/>
          <w:sz w:val="28"/>
          <w:szCs w:val="28"/>
        </w:rPr>
        <w:t xml:space="preserve"> Máxime que la quejosa afirma que en este momento no forma parte de un grupo pero que en cualquier momento podría pertenecer a uno.</w:t>
      </w:r>
      <w:r w:rsidR="00E73B4B" w:rsidRPr="00BD02B4">
        <w:rPr>
          <w:rStyle w:val="Refdenotaalpie"/>
          <w:rFonts w:cs="Arial"/>
          <w:bCs/>
          <w:sz w:val="24"/>
          <w:szCs w:val="24"/>
        </w:rPr>
        <w:footnoteReference w:id="22"/>
      </w:r>
      <w:r w:rsidR="00E73B4B" w:rsidRPr="00BD02B4">
        <w:rPr>
          <w:rFonts w:cs="Arial"/>
          <w:bCs/>
          <w:sz w:val="24"/>
          <w:szCs w:val="24"/>
        </w:rPr>
        <w:t xml:space="preserve"> </w:t>
      </w:r>
    </w:p>
    <w:p w14:paraId="0392B9F1"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EF411B7" w14:textId="7A2F0A0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Cabe señalar</w:t>
      </w:r>
      <w:r w:rsidR="00450FC4" w:rsidRPr="00BD02B4">
        <w:rPr>
          <w:rFonts w:cs="Arial"/>
          <w:sz w:val="28"/>
          <w:szCs w:val="28"/>
        </w:rPr>
        <w:t xml:space="preserve">, </w:t>
      </w:r>
      <w:r w:rsidRPr="00BD02B4">
        <w:rPr>
          <w:rFonts w:cs="Arial"/>
          <w:sz w:val="28"/>
          <w:szCs w:val="28"/>
        </w:rPr>
        <w:t>que la equidad de la disposición, desde otra perspectiva, queda también de relieve si se considera que, en todo caso, los causantes que pertenezcan a grupos de sociedades o que celebren operaciones con partes relacionadas podrán realizar la deducción de los intereses que correspondan a las deudas contratadas en los siguientes diez ejercicios, de lo cual deriva que no existe un trato desigual consistente en la imposibilidad de realizar dicha deducción.</w:t>
      </w:r>
    </w:p>
    <w:p w14:paraId="6458780A"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3101FA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Por ende, el trato a que se refiere el numeral combatido no es desigual, aun cuando pudiera derivar en resultados menores o superiores dependiendo de ser una empresa que pertenece o no a un grupo de sociedades; para esta Sala es claro que el texto expreso que hoy se cuestiona, concede un trato igualitario a todos los contribuyentes que excedan los límites de la norma.</w:t>
      </w:r>
    </w:p>
    <w:p w14:paraId="33ECB15F" w14:textId="77777777" w:rsidR="00D4572B" w:rsidRPr="00BD02B4" w:rsidRDefault="00D4572B" w:rsidP="00004076">
      <w:pPr>
        <w:pStyle w:val="corte4fondo"/>
        <w:ind w:right="-232" w:hanging="567"/>
        <w:rPr>
          <w:rFonts w:cs="Arial"/>
          <w:sz w:val="28"/>
          <w:szCs w:val="28"/>
        </w:rPr>
      </w:pPr>
    </w:p>
    <w:p w14:paraId="1A5D48FB" w14:textId="7E074730"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este orden de ideas, debe concluirse que la norma establece los mismos elementos de tributación para los contribuyentes que se </w:t>
      </w:r>
      <w:proofErr w:type="spellStart"/>
      <w:r w:rsidRPr="00BD02B4">
        <w:rPr>
          <w:rFonts w:cs="Arial"/>
          <w:sz w:val="28"/>
          <w:szCs w:val="28"/>
        </w:rPr>
        <w:t>sobreendeudan</w:t>
      </w:r>
      <w:proofErr w:type="spellEnd"/>
      <w:r w:rsidRPr="00BD02B4">
        <w:rPr>
          <w:rFonts w:cs="Arial"/>
          <w:sz w:val="28"/>
          <w:szCs w:val="28"/>
        </w:rPr>
        <w:t>, estableciendo el mismo tratamiento para los sujetos pasivos que incurren en un endeudamiento excesivo, sin que se advierta distinción alguna por la particularidad de que al ser grupo se tenga que considerar de manera proporcional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w:t>
      </w:r>
    </w:p>
    <w:p w14:paraId="07C572E5" w14:textId="77777777" w:rsidR="00D4572B" w:rsidRPr="00BD02B4" w:rsidRDefault="00D4572B" w:rsidP="00004076">
      <w:pPr>
        <w:spacing w:line="360" w:lineRule="auto"/>
        <w:ind w:right="-232" w:hanging="567"/>
        <w:mirrorIndents/>
        <w:jc w:val="both"/>
        <w:rPr>
          <w:rFonts w:ascii="Arial" w:hAnsi="Arial" w:cs="Arial"/>
          <w:sz w:val="28"/>
          <w:szCs w:val="28"/>
        </w:rPr>
      </w:pPr>
    </w:p>
    <w:p w14:paraId="3CD56706" w14:textId="47ED6AB5"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Dar una interpretación a la medida legislativa en el sentido de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aplique de manera individual a cada persona moral generaría un escenario de inequidad pues el límite previsto por el legislador tendría que incrementarse conforme incremente el número de sociedades que integran el grupo, lo que haría nugatoria la finalidad perseguida por la </w:t>
      </w:r>
      <w:r w:rsidRPr="00BD02B4">
        <w:rPr>
          <w:rFonts w:cs="Arial"/>
          <w:sz w:val="28"/>
          <w:szCs w:val="28"/>
        </w:rPr>
        <w:lastRenderedPageBreak/>
        <w:t>medida que es justamente evitar la evasión fiscal a través de esquemas de sobre endeudamiento.</w:t>
      </w:r>
    </w:p>
    <w:p w14:paraId="3CA7BCEC" w14:textId="77777777" w:rsidR="00470B4B" w:rsidRPr="00BD02B4" w:rsidRDefault="00470B4B" w:rsidP="00470B4B">
      <w:pPr>
        <w:pStyle w:val="Prrafodelista"/>
        <w:rPr>
          <w:rFonts w:cs="Arial"/>
          <w:sz w:val="28"/>
          <w:szCs w:val="28"/>
        </w:rPr>
      </w:pPr>
    </w:p>
    <w:p w14:paraId="2ECC3F90" w14:textId="4F749DC7" w:rsidR="009F7AE7" w:rsidRPr="00BD02B4" w:rsidRDefault="00E31C57" w:rsidP="00E31C57">
      <w:pPr>
        <w:pStyle w:val="corte4fondo"/>
        <w:numPr>
          <w:ilvl w:val="0"/>
          <w:numId w:val="5"/>
        </w:numPr>
        <w:ind w:left="0" w:right="-232" w:hanging="567"/>
        <w:contextualSpacing/>
        <w:rPr>
          <w:rFonts w:cs="Arial"/>
          <w:sz w:val="28"/>
          <w:szCs w:val="28"/>
        </w:rPr>
      </w:pPr>
      <w:bookmarkStart w:id="3" w:name="_Hlk103772962"/>
      <w:r w:rsidRPr="00BD02B4">
        <w:rPr>
          <w:rFonts w:cs="Arial"/>
          <w:sz w:val="28"/>
          <w:szCs w:val="28"/>
        </w:rPr>
        <w:t>Conforme a lo anterior</w:t>
      </w:r>
      <w:r w:rsidR="00B967DE" w:rsidRPr="00BD02B4">
        <w:rPr>
          <w:rFonts w:cs="Arial"/>
          <w:sz w:val="28"/>
          <w:szCs w:val="28"/>
        </w:rPr>
        <w:t xml:space="preserve">, </w:t>
      </w:r>
      <w:r w:rsidR="00312E5A" w:rsidRPr="00BD02B4">
        <w:rPr>
          <w:rFonts w:cs="Arial"/>
          <w:sz w:val="28"/>
          <w:szCs w:val="28"/>
        </w:rPr>
        <w:t>procede desestimar</w:t>
      </w:r>
      <w:r w:rsidR="00B967DE" w:rsidRPr="00BD02B4">
        <w:rPr>
          <w:rFonts w:cs="Arial"/>
          <w:sz w:val="28"/>
          <w:szCs w:val="28"/>
        </w:rPr>
        <w:t xml:space="preserve"> el argumento en el sentido </w:t>
      </w:r>
      <w:r w:rsidRPr="00BD02B4">
        <w:rPr>
          <w:rFonts w:cs="Arial"/>
          <w:sz w:val="28"/>
          <w:szCs w:val="28"/>
        </w:rPr>
        <w:t xml:space="preserve">de que no debió excluirse </w:t>
      </w:r>
      <w:r w:rsidR="001C44B3" w:rsidRPr="00BD02B4">
        <w:rPr>
          <w:rFonts w:cs="Arial"/>
          <w:sz w:val="28"/>
          <w:szCs w:val="28"/>
        </w:rPr>
        <w:t>de la aplicación de la fracción impugnada a los intereses que deriven de deudas contratadas para financiar obras de infraestructura pública, así como para financiar construcciones</w:t>
      </w:r>
      <w:r w:rsidR="0086074D" w:rsidRPr="00BD02B4">
        <w:rPr>
          <w:rFonts w:cs="Arial"/>
          <w:sz w:val="28"/>
          <w:szCs w:val="28"/>
        </w:rPr>
        <w:t xml:space="preserve">, proyectos para la exploración, extracción, transporte, almacenamiento </w:t>
      </w:r>
      <w:r w:rsidR="00B11259" w:rsidRPr="00BD02B4">
        <w:rPr>
          <w:rFonts w:cs="Arial"/>
          <w:sz w:val="28"/>
          <w:szCs w:val="28"/>
        </w:rPr>
        <w:t xml:space="preserve">o distribución del petróleo y de los hidrocarburos sólidos, líquidos o </w:t>
      </w:r>
      <w:r w:rsidR="000A2AC7" w:rsidRPr="00BD02B4">
        <w:rPr>
          <w:rFonts w:cs="Arial"/>
          <w:sz w:val="28"/>
          <w:szCs w:val="28"/>
        </w:rPr>
        <w:t>g</w:t>
      </w:r>
      <w:r w:rsidR="00B11259" w:rsidRPr="00BD02B4">
        <w:rPr>
          <w:rFonts w:cs="Arial"/>
          <w:sz w:val="28"/>
          <w:szCs w:val="28"/>
        </w:rPr>
        <w:t xml:space="preserve">aseosos así como para otros proyectos de la industria extractiva </w:t>
      </w:r>
      <w:r w:rsidR="00ED30C2" w:rsidRPr="00BD02B4">
        <w:rPr>
          <w:rFonts w:cs="Arial"/>
          <w:sz w:val="28"/>
          <w:szCs w:val="28"/>
        </w:rPr>
        <w:t>o a rendimientos de deuda pública</w:t>
      </w:r>
      <w:r w:rsidR="00597C2D" w:rsidRPr="00BD02B4">
        <w:rPr>
          <w:rFonts w:cs="Arial"/>
          <w:sz w:val="28"/>
          <w:szCs w:val="28"/>
        </w:rPr>
        <w:t>;</w:t>
      </w:r>
      <w:r w:rsidR="00ED30C2" w:rsidRPr="00BD02B4">
        <w:rPr>
          <w:rFonts w:cs="Arial"/>
          <w:sz w:val="28"/>
          <w:szCs w:val="28"/>
        </w:rPr>
        <w:t xml:space="preserve"> pues </w:t>
      </w:r>
      <w:r w:rsidR="00342C19" w:rsidRPr="00BD02B4">
        <w:rPr>
          <w:rFonts w:cs="Arial"/>
          <w:sz w:val="28"/>
          <w:szCs w:val="28"/>
        </w:rPr>
        <w:t xml:space="preserve">derivado de los sectores y áreas a las que van dirigidos dichos proyectos, </w:t>
      </w:r>
      <w:r w:rsidR="00583722" w:rsidRPr="00BD02B4">
        <w:rPr>
          <w:rFonts w:cs="Arial"/>
          <w:sz w:val="28"/>
          <w:szCs w:val="28"/>
        </w:rPr>
        <w:t xml:space="preserve">no se encuentran en la misma situación que la generalidad de los contribuyentes a los que les es aplicable la medida de control en estudio, </w:t>
      </w:r>
      <w:r w:rsidR="00597C2D" w:rsidRPr="00BD02B4">
        <w:rPr>
          <w:rFonts w:cs="Arial"/>
          <w:sz w:val="28"/>
          <w:szCs w:val="28"/>
        </w:rPr>
        <w:t>toda vez que</w:t>
      </w:r>
      <w:r w:rsidR="00583722" w:rsidRPr="00BD02B4">
        <w:rPr>
          <w:rFonts w:cs="Arial"/>
          <w:sz w:val="28"/>
          <w:szCs w:val="28"/>
        </w:rPr>
        <w:t xml:space="preserve"> se trata de </w:t>
      </w:r>
      <w:r w:rsidR="009F7AE7" w:rsidRPr="00BD02B4">
        <w:rPr>
          <w:rFonts w:cs="Arial"/>
          <w:sz w:val="28"/>
          <w:szCs w:val="28"/>
        </w:rPr>
        <w:t>proyectos que buscan incentivarse en beneficio de la colectividad, tal y como se refirió en la exposición de motivos y sobre todo se desprende de la propia descripción de la norma</w:t>
      </w:r>
      <w:bookmarkEnd w:id="3"/>
      <w:r w:rsidR="009F7AE7" w:rsidRPr="00BD02B4">
        <w:rPr>
          <w:rFonts w:cs="Arial"/>
          <w:sz w:val="28"/>
          <w:szCs w:val="28"/>
        </w:rPr>
        <w:t>.</w:t>
      </w:r>
      <w:r w:rsidR="0015326A" w:rsidRPr="00BD02B4">
        <w:rPr>
          <w:rStyle w:val="Refdenotaalpie"/>
          <w:rFonts w:cs="Arial"/>
          <w:sz w:val="24"/>
          <w:szCs w:val="24"/>
        </w:rPr>
        <w:footnoteReference w:id="23"/>
      </w:r>
    </w:p>
    <w:p w14:paraId="6CAF393F" w14:textId="77777777" w:rsidR="009F7AE7" w:rsidRPr="00BD02B4" w:rsidRDefault="009F7AE7" w:rsidP="009F7AE7">
      <w:pPr>
        <w:pStyle w:val="Prrafodelista"/>
        <w:rPr>
          <w:rFonts w:cs="Arial"/>
          <w:sz w:val="28"/>
          <w:szCs w:val="28"/>
        </w:rPr>
      </w:pPr>
    </w:p>
    <w:p w14:paraId="24A37F4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 importante señalar que la incorporación de la limitante de intereses deducibles contenida en la fracción impugnada se encuentra alineada con las medidas establecidas en el Reporte Final de la Acción 4 del proyecto BEPS.</w:t>
      </w:r>
      <w:r w:rsidRPr="00BD02B4">
        <w:rPr>
          <w:rStyle w:val="Refdenotaalpie"/>
          <w:rFonts w:cs="Arial"/>
          <w:sz w:val="24"/>
          <w:szCs w:val="24"/>
        </w:rPr>
        <w:footnoteReference w:id="24"/>
      </w:r>
      <w:r w:rsidRPr="00BD02B4">
        <w:rPr>
          <w:rFonts w:cs="Arial"/>
          <w:sz w:val="28"/>
          <w:szCs w:val="28"/>
        </w:rPr>
        <w:t xml:space="preserve"> Este Plan instó a formular recomendaciones en relación a las mejores prácticas en el diseño de normas para impedir la erosión de las bases imponibles y el traslado de beneficios mediante la excesiva deducción de intereses, ello ya que una de las prácticas más sencilla para trasladar utilidades es el pago de intereses entre partes relacionadas y la utilización de la deuda, entre ellas, para lo cual se recomendó como </w:t>
      </w:r>
      <w:r w:rsidRPr="00BD02B4">
        <w:rPr>
          <w:rFonts w:cs="Arial"/>
          <w:sz w:val="28"/>
          <w:szCs w:val="28"/>
        </w:rPr>
        <w:lastRenderedPageBreak/>
        <w:t>medida más efectiva limitar las deducciones considerando los ingresos del contribuyente.</w:t>
      </w:r>
    </w:p>
    <w:p w14:paraId="2F570842" w14:textId="77777777" w:rsidR="00D4572B" w:rsidRPr="00BD02B4" w:rsidRDefault="00D4572B" w:rsidP="00004076">
      <w:pPr>
        <w:pStyle w:val="corte4fondo"/>
        <w:ind w:right="-232" w:hanging="567"/>
        <w:rPr>
          <w:rFonts w:cs="Arial"/>
          <w:sz w:val="28"/>
          <w:szCs w:val="28"/>
        </w:rPr>
      </w:pPr>
    </w:p>
    <w:p w14:paraId="35849738" w14:textId="233D6607" w:rsidR="00055937" w:rsidRPr="00BD02B4" w:rsidRDefault="00D4572B" w:rsidP="006B5E71">
      <w:pPr>
        <w:pStyle w:val="corte4fondo"/>
        <w:numPr>
          <w:ilvl w:val="0"/>
          <w:numId w:val="5"/>
        </w:numPr>
        <w:ind w:left="0" w:right="-232" w:hanging="567"/>
        <w:contextualSpacing/>
        <w:rPr>
          <w:rFonts w:cs="Arial"/>
          <w:sz w:val="28"/>
          <w:szCs w:val="28"/>
        </w:rPr>
      </w:pPr>
      <w:r w:rsidRPr="00BD02B4">
        <w:rPr>
          <w:rFonts w:cs="Arial"/>
          <w:sz w:val="28"/>
          <w:szCs w:val="28"/>
        </w:rPr>
        <w:t>De esta forma, se advierte por esta Sala que la medida impugnada atiende a razones objetivas del derecho tributario y al contexto nacional, mismas que quedaron plasmadas en los trabajos legislativos, de tal modo que a partir de estos escenarios tributarios la norma ahora reclamada se concretó en la limitación de la deducción de intereses netos a cargo de los contribuyentes, cuyos intereses devengados durante el ejercicio deriven de sus deudas</w:t>
      </w:r>
      <w:r w:rsidR="00904EE6" w:rsidRPr="00BD02B4">
        <w:rPr>
          <w:rFonts w:cs="Arial"/>
          <w:sz w:val="28"/>
          <w:szCs w:val="28"/>
        </w:rPr>
        <w:t xml:space="preserve">; de ahí </w:t>
      </w:r>
      <w:r w:rsidR="003F7BA3" w:rsidRPr="00BD02B4">
        <w:rPr>
          <w:rFonts w:cs="Arial"/>
          <w:sz w:val="28"/>
          <w:szCs w:val="28"/>
        </w:rPr>
        <w:t>también tenemos que,</w:t>
      </w:r>
      <w:r w:rsidR="00904EE6" w:rsidRPr="00BD02B4">
        <w:rPr>
          <w:rFonts w:cs="Arial"/>
          <w:sz w:val="28"/>
          <w:szCs w:val="28"/>
        </w:rPr>
        <w:t xml:space="preserve"> la cantidad de veinte millones como parámetro </w:t>
      </w:r>
      <w:r w:rsidR="005B480B" w:rsidRPr="00BD02B4">
        <w:rPr>
          <w:rFonts w:cs="Arial"/>
          <w:sz w:val="28"/>
          <w:szCs w:val="28"/>
        </w:rPr>
        <w:t xml:space="preserve">para determinar a quienes aplica la limitante de que se trata, es </w:t>
      </w:r>
      <w:r w:rsidR="003F7BA3" w:rsidRPr="00BD02B4">
        <w:rPr>
          <w:rFonts w:cs="Arial"/>
          <w:sz w:val="28"/>
          <w:szCs w:val="28"/>
        </w:rPr>
        <w:t xml:space="preserve">parte de la libertad de configuración </w:t>
      </w:r>
      <w:r w:rsidR="00754AAC" w:rsidRPr="00BD02B4">
        <w:rPr>
          <w:rFonts w:cs="Arial"/>
          <w:sz w:val="28"/>
          <w:szCs w:val="28"/>
        </w:rPr>
        <w:t>del legislador para lograr</w:t>
      </w:r>
      <w:r w:rsidR="00055937" w:rsidRPr="00BD02B4">
        <w:rPr>
          <w:rFonts w:cs="Arial"/>
          <w:sz w:val="28"/>
          <w:szCs w:val="28"/>
        </w:rPr>
        <w:t xml:space="preserve"> el fin que persigue la medida. </w:t>
      </w:r>
    </w:p>
    <w:p w14:paraId="375261F4" w14:textId="6E84A920" w:rsidR="009714A9" w:rsidRPr="00BD02B4" w:rsidRDefault="009714A9" w:rsidP="00004076">
      <w:pPr>
        <w:pStyle w:val="corte4fondo"/>
        <w:ind w:right="-232" w:firstLine="0"/>
        <w:contextualSpacing/>
        <w:rPr>
          <w:rFonts w:eastAsiaTheme="minorHAnsi" w:cs="Arial"/>
          <w:sz w:val="28"/>
          <w:szCs w:val="28"/>
          <w:lang w:eastAsia="en-US"/>
        </w:rPr>
      </w:pPr>
    </w:p>
    <w:p w14:paraId="5DC5DFBE"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REVISIÓN ADHESIVA</w:t>
      </w:r>
    </w:p>
    <w:p w14:paraId="2423F95B" w14:textId="77777777" w:rsidR="004F1369" w:rsidRPr="00BD02B4" w:rsidRDefault="004F1369" w:rsidP="00004076">
      <w:pPr>
        <w:pStyle w:val="corte4fondo"/>
        <w:ind w:right="-232" w:firstLine="0"/>
        <w:rPr>
          <w:sz w:val="28"/>
          <w:szCs w:val="28"/>
        </w:rPr>
      </w:pPr>
    </w:p>
    <w:p w14:paraId="2B67CB05" w14:textId="46080CEB" w:rsidR="00ED010B" w:rsidRPr="00BD02B4" w:rsidRDefault="00412A03" w:rsidP="00ED010B">
      <w:pPr>
        <w:pStyle w:val="corte4fondo"/>
        <w:numPr>
          <w:ilvl w:val="0"/>
          <w:numId w:val="5"/>
        </w:numPr>
        <w:tabs>
          <w:tab w:val="center" w:pos="4420"/>
          <w:tab w:val="left" w:pos="6975"/>
        </w:tabs>
        <w:ind w:left="0" w:right="-232" w:hanging="567"/>
        <w:contextualSpacing/>
        <w:rPr>
          <w:rFonts w:cs="Arial"/>
          <w:bCs/>
          <w:sz w:val="28"/>
          <w:szCs w:val="28"/>
          <w:lang w:val="es-MX"/>
        </w:rPr>
      </w:pPr>
      <w:r w:rsidRPr="00BD02B4">
        <w:rPr>
          <w:rFonts w:eastAsiaTheme="minorHAnsi" w:cs="Arial"/>
          <w:color w:val="000000"/>
          <w:sz w:val="28"/>
          <w:szCs w:val="28"/>
          <w:lang w:eastAsia="en-US"/>
        </w:rPr>
        <w:t>S</w:t>
      </w:r>
      <w:r w:rsidR="00A32EB1" w:rsidRPr="00BD02B4">
        <w:rPr>
          <w:rFonts w:eastAsiaTheme="minorHAnsi" w:cs="Arial"/>
          <w:color w:val="000000"/>
          <w:sz w:val="28"/>
          <w:szCs w:val="28"/>
          <w:lang w:eastAsia="en-US"/>
        </w:rPr>
        <w:t>i bien</w:t>
      </w:r>
      <w:r w:rsidR="009F1EF1" w:rsidRPr="00BD02B4">
        <w:rPr>
          <w:rFonts w:eastAsiaTheme="minorHAnsi" w:cs="Arial"/>
          <w:color w:val="000000"/>
          <w:sz w:val="28"/>
          <w:szCs w:val="28"/>
          <w:lang w:eastAsia="en-US"/>
        </w:rPr>
        <w:t xml:space="preserve"> el Tribunal Colegiado del conocimiento</w:t>
      </w:r>
      <w:r w:rsidR="00B6528E" w:rsidRPr="00BD02B4">
        <w:rPr>
          <w:rFonts w:eastAsiaTheme="minorHAnsi" w:cs="Arial"/>
          <w:color w:val="000000"/>
          <w:sz w:val="28"/>
          <w:szCs w:val="28"/>
          <w:lang w:eastAsia="en-US"/>
        </w:rPr>
        <w:t xml:space="preserve"> determinó que tanto el recurso de revisión principal como su adhesiv</w:t>
      </w:r>
      <w:r w:rsidR="00997204" w:rsidRPr="00BD02B4">
        <w:rPr>
          <w:rFonts w:eastAsiaTheme="minorHAnsi" w:cs="Arial"/>
          <w:color w:val="000000"/>
          <w:sz w:val="28"/>
          <w:szCs w:val="28"/>
          <w:lang w:eastAsia="en-US"/>
        </w:rPr>
        <w:t xml:space="preserve">a </w:t>
      </w:r>
      <w:r w:rsidR="00B6528E" w:rsidRPr="00BD02B4">
        <w:rPr>
          <w:rFonts w:eastAsiaTheme="minorHAnsi" w:cs="Arial"/>
          <w:color w:val="000000"/>
          <w:sz w:val="28"/>
          <w:szCs w:val="28"/>
          <w:lang w:eastAsia="en-US"/>
        </w:rPr>
        <w:t>debía</w:t>
      </w:r>
      <w:r w:rsidR="00395E66" w:rsidRPr="00BD02B4">
        <w:rPr>
          <w:rFonts w:eastAsiaTheme="minorHAnsi" w:cs="Arial"/>
          <w:color w:val="000000"/>
          <w:sz w:val="28"/>
          <w:szCs w:val="28"/>
          <w:lang w:eastAsia="en-US"/>
        </w:rPr>
        <w:t>n</w:t>
      </w:r>
      <w:r w:rsidR="00B6528E" w:rsidRPr="00BD02B4">
        <w:rPr>
          <w:rFonts w:eastAsiaTheme="minorHAnsi" w:cs="Arial"/>
          <w:color w:val="000000"/>
          <w:sz w:val="28"/>
          <w:szCs w:val="28"/>
          <w:lang w:eastAsia="en-US"/>
        </w:rPr>
        <w:t xml:space="preserve"> ser </w:t>
      </w:r>
      <w:r w:rsidR="00B6528E" w:rsidRPr="00BD02B4">
        <w:rPr>
          <w:rFonts w:eastAsiaTheme="minorHAnsi" w:cs="Arial"/>
          <w:sz w:val="28"/>
          <w:szCs w:val="28"/>
          <w:lang w:eastAsia="en-US"/>
        </w:rPr>
        <w:t>remitido</w:t>
      </w:r>
      <w:r w:rsidR="00395E66" w:rsidRPr="00BD02B4">
        <w:rPr>
          <w:rFonts w:eastAsiaTheme="minorHAnsi" w:cs="Arial"/>
          <w:sz w:val="28"/>
          <w:szCs w:val="28"/>
          <w:lang w:eastAsia="en-US"/>
        </w:rPr>
        <w:t>s</w:t>
      </w:r>
      <w:r w:rsidR="00B6528E" w:rsidRPr="00BD02B4">
        <w:rPr>
          <w:rFonts w:eastAsiaTheme="minorHAnsi" w:cs="Arial"/>
          <w:color w:val="000000"/>
          <w:sz w:val="28"/>
          <w:szCs w:val="28"/>
          <w:lang w:eastAsia="en-US"/>
        </w:rPr>
        <w:t xml:space="preserve"> a esta </w:t>
      </w:r>
      <w:r w:rsidR="00B6528E" w:rsidRPr="00BD02B4">
        <w:rPr>
          <w:rFonts w:eastAsiaTheme="minorHAnsi" w:cs="Arial"/>
          <w:sz w:val="28"/>
          <w:szCs w:val="28"/>
          <w:lang w:eastAsia="en-US"/>
        </w:rPr>
        <w:t>Suprema</w:t>
      </w:r>
      <w:r w:rsidR="00B6528E" w:rsidRPr="00BD02B4">
        <w:rPr>
          <w:rFonts w:eastAsiaTheme="minorHAnsi" w:cs="Arial"/>
          <w:color w:val="000000"/>
          <w:sz w:val="28"/>
          <w:szCs w:val="28"/>
          <w:lang w:eastAsia="en-US"/>
        </w:rPr>
        <w:t xml:space="preserve"> Corte de Justicia de la Nación, para pronunciarse sobre la constitucionalidad del precepto</w:t>
      </w:r>
      <w:r w:rsidR="00DF1A81" w:rsidRPr="00BD02B4">
        <w:rPr>
          <w:rFonts w:eastAsiaTheme="minorHAnsi" w:cs="Arial"/>
          <w:color w:val="000000"/>
          <w:sz w:val="28"/>
          <w:szCs w:val="28"/>
          <w:lang w:eastAsia="en-US"/>
        </w:rPr>
        <w:t xml:space="preserve"> impugnado</w:t>
      </w:r>
      <w:r w:rsidR="00B6528E" w:rsidRPr="00BD02B4">
        <w:rPr>
          <w:rFonts w:eastAsiaTheme="minorHAnsi" w:cs="Arial"/>
          <w:sz w:val="28"/>
          <w:szCs w:val="28"/>
          <w:lang w:eastAsia="en-US"/>
        </w:rPr>
        <w:t xml:space="preserve">, </w:t>
      </w:r>
      <w:r w:rsidR="00647045" w:rsidRPr="00BD02B4">
        <w:rPr>
          <w:rFonts w:eastAsiaTheme="minorHAnsi" w:cs="Arial"/>
          <w:sz w:val="28"/>
          <w:szCs w:val="28"/>
          <w:lang w:eastAsia="en-US"/>
        </w:rPr>
        <w:t xml:space="preserve">esta Primera Sala advierte </w:t>
      </w:r>
      <w:r w:rsidR="00207B40" w:rsidRPr="00BD02B4">
        <w:rPr>
          <w:rFonts w:eastAsiaTheme="minorHAnsi" w:cs="Arial"/>
          <w:sz w:val="28"/>
          <w:szCs w:val="28"/>
          <w:lang w:eastAsia="en-US"/>
        </w:rPr>
        <w:t xml:space="preserve">que </w:t>
      </w:r>
      <w:r w:rsidR="00685020" w:rsidRPr="00BD02B4">
        <w:rPr>
          <w:rFonts w:eastAsiaTheme="minorHAnsi" w:cs="Arial"/>
          <w:sz w:val="28"/>
          <w:szCs w:val="28"/>
          <w:lang w:eastAsia="en-US"/>
        </w:rPr>
        <w:t xml:space="preserve">el Tribunal Colegiado </w:t>
      </w:r>
      <w:r w:rsidR="00DD2134" w:rsidRPr="00BD02B4">
        <w:rPr>
          <w:rFonts w:cs="Arial"/>
          <w:bCs/>
          <w:sz w:val="28"/>
          <w:szCs w:val="28"/>
          <w:lang w:val="es-MX"/>
        </w:rPr>
        <w:t>calificó de infundados</w:t>
      </w:r>
      <w:r w:rsidR="00C9251A" w:rsidRPr="00BD02B4">
        <w:rPr>
          <w:rFonts w:cs="Arial"/>
          <w:bCs/>
          <w:sz w:val="28"/>
          <w:szCs w:val="28"/>
          <w:lang w:val="es-MX"/>
        </w:rPr>
        <w:t xml:space="preserve"> </w:t>
      </w:r>
      <w:r w:rsidR="00ED010B" w:rsidRPr="00BD02B4">
        <w:rPr>
          <w:rFonts w:cs="Arial"/>
          <w:bCs/>
          <w:sz w:val="28"/>
          <w:szCs w:val="28"/>
          <w:lang w:val="es-MX"/>
        </w:rPr>
        <w:t xml:space="preserve">la totalidad </w:t>
      </w:r>
      <w:r w:rsidR="00C9251A" w:rsidRPr="00BD02B4">
        <w:rPr>
          <w:rFonts w:cs="Arial"/>
          <w:bCs/>
          <w:sz w:val="28"/>
          <w:szCs w:val="28"/>
          <w:lang w:val="es-MX"/>
        </w:rPr>
        <w:t xml:space="preserve">de </w:t>
      </w:r>
      <w:r w:rsidR="00ED010B" w:rsidRPr="00BD02B4">
        <w:rPr>
          <w:rFonts w:cs="Arial"/>
          <w:bCs/>
          <w:sz w:val="28"/>
          <w:szCs w:val="28"/>
          <w:lang w:val="es-MX"/>
        </w:rPr>
        <w:t xml:space="preserve">los argumentos planteados </w:t>
      </w:r>
      <w:r w:rsidR="00ED010B" w:rsidRPr="00BD02B4">
        <w:rPr>
          <w:rFonts w:cs="Arial"/>
          <w:bCs/>
          <w:sz w:val="28"/>
          <w:szCs w:val="28"/>
        </w:rPr>
        <w:t>en</w:t>
      </w:r>
      <w:r w:rsidR="00ED010B" w:rsidRPr="00BD02B4">
        <w:rPr>
          <w:rFonts w:cs="Arial"/>
          <w:bCs/>
          <w:sz w:val="28"/>
          <w:szCs w:val="28"/>
          <w:lang w:val="es-MX"/>
        </w:rPr>
        <w:t xml:space="preserve"> el recurso de revisión adhesiva interpuesto por el </w:t>
      </w:r>
      <w:proofErr w:type="gramStart"/>
      <w:r w:rsidR="00ED010B" w:rsidRPr="00BD02B4">
        <w:rPr>
          <w:rFonts w:cs="Arial"/>
          <w:bCs/>
          <w:sz w:val="28"/>
          <w:szCs w:val="28"/>
          <w:lang w:val="es-MX"/>
        </w:rPr>
        <w:t>Presidente</w:t>
      </w:r>
      <w:proofErr w:type="gramEnd"/>
      <w:r w:rsidR="00ED010B" w:rsidRPr="00BD02B4">
        <w:rPr>
          <w:rFonts w:cs="Arial"/>
          <w:bCs/>
          <w:sz w:val="28"/>
          <w:szCs w:val="28"/>
          <w:lang w:val="es-MX"/>
        </w:rPr>
        <w:t xml:space="preserve"> de la República.</w:t>
      </w:r>
    </w:p>
    <w:p w14:paraId="1D088DCC" w14:textId="77777777" w:rsidR="00647045" w:rsidRPr="00BD02B4" w:rsidRDefault="00647045" w:rsidP="00463B0A">
      <w:pPr>
        <w:pStyle w:val="corte4fondo"/>
        <w:tabs>
          <w:tab w:val="center" w:pos="4420"/>
          <w:tab w:val="left" w:pos="6975"/>
        </w:tabs>
        <w:ind w:right="-232" w:firstLine="0"/>
        <w:contextualSpacing/>
        <w:rPr>
          <w:rFonts w:cs="Arial"/>
          <w:bCs/>
          <w:sz w:val="28"/>
          <w:szCs w:val="28"/>
          <w:lang w:val="es-MX"/>
        </w:rPr>
      </w:pPr>
    </w:p>
    <w:p w14:paraId="553F2142" w14:textId="1FD92881" w:rsidR="00463B0A" w:rsidRPr="00BD02B4" w:rsidRDefault="00463B0A" w:rsidP="00463B0A">
      <w:pPr>
        <w:pStyle w:val="corte4fondo"/>
        <w:numPr>
          <w:ilvl w:val="0"/>
          <w:numId w:val="5"/>
        </w:numPr>
        <w:ind w:left="0" w:right="-232" w:hanging="567"/>
        <w:contextualSpacing/>
        <w:rPr>
          <w:rFonts w:cs="Arial"/>
          <w:bCs/>
          <w:sz w:val="28"/>
          <w:szCs w:val="28"/>
          <w:lang w:val="es-MX"/>
        </w:rPr>
      </w:pPr>
      <w:r w:rsidRPr="00BD02B4">
        <w:rPr>
          <w:rFonts w:cs="Arial"/>
          <w:bCs/>
          <w:sz w:val="28"/>
          <w:szCs w:val="28"/>
        </w:rPr>
        <w:t>En efecto,</w:t>
      </w:r>
      <w:r w:rsidR="008B152C" w:rsidRPr="00BD02B4">
        <w:rPr>
          <w:rFonts w:cs="Arial"/>
          <w:bCs/>
          <w:sz w:val="28"/>
          <w:szCs w:val="28"/>
        </w:rPr>
        <w:t xml:space="preserve"> </w:t>
      </w:r>
      <w:r w:rsidRPr="00BD02B4">
        <w:rPr>
          <w:rFonts w:cs="Arial"/>
          <w:bCs/>
          <w:sz w:val="28"/>
          <w:szCs w:val="28"/>
        </w:rPr>
        <w:t xml:space="preserve">los argumentos vertidos en </w:t>
      </w:r>
      <w:r w:rsidR="00E42481" w:rsidRPr="00BD02B4">
        <w:rPr>
          <w:rFonts w:cs="Arial"/>
          <w:bCs/>
          <w:sz w:val="28"/>
          <w:szCs w:val="28"/>
        </w:rPr>
        <w:t>el</w:t>
      </w:r>
      <w:r w:rsidRPr="00BD02B4">
        <w:rPr>
          <w:rFonts w:cs="Arial"/>
          <w:bCs/>
          <w:sz w:val="28"/>
          <w:szCs w:val="28"/>
        </w:rPr>
        <w:t xml:space="preserve"> recurso</w:t>
      </w:r>
      <w:r w:rsidR="007A56EA" w:rsidRPr="00BD02B4">
        <w:rPr>
          <w:rFonts w:cs="Arial"/>
          <w:bCs/>
          <w:sz w:val="28"/>
          <w:szCs w:val="28"/>
        </w:rPr>
        <w:t xml:space="preserve"> </w:t>
      </w:r>
      <w:r w:rsidR="008B152C" w:rsidRPr="00BD02B4">
        <w:rPr>
          <w:rFonts w:cs="Arial"/>
          <w:bCs/>
          <w:sz w:val="28"/>
          <w:szCs w:val="28"/>
        </w:rPr>
        <w:t xml:space="preserve">revisión adhesiva </w:t>
      </w:r>
      <w:r w:rsidRPr="00BD02B4">
        <w:rPr>
          <w:rFonts w:cs="Arial"/>
          <w:bCs/>
          <w:sz w:val="28"/>
          <w:szCs w:val="28"/>
        </w:rPr>
        <w:t xml:space="preserve">únicamente </w:t>
      </w:r>
      <w:r w:rsidR="00611F48" w:rsidRPr="00BD02B4">
        <w:rPr>
          <w:rFonts w:cs="Arial"/>
          <w:bCs/>
          <w:sz w:val="28"/>
          <w:szCs w:val="28"/>
        </w:rPr>
        <w:t>se encontraban</w:t>
      </w:r>
      <w:r w:rsidR="0053430C" w:rsidRPr="00BD02B4">
        <w:rPr>
          <w:rFonts w:cs="Arial"/>
          <w:bCs/>
          <w:sz w:val="28"/>
          <w:szCs w:val="28"/>
        </w:rPr>
        <w:t xml:space="preserve"> dirigidos a</w:t>
      </w:r>
      <w:r w:rsidRPr="00BD02B4">
        <w:rPr>
          <w:rFonts w:cs="Arial"/>
          <w:bCs/>
          <w:sz w:val="28"/>
          <w:szCs w:val="28"/>
        </w:rPr>
        <w:t xml:space="preserve"> reforzar el sobreseimiento decretado </w:t>
      </w:r>
      <w:r w:rsidR="0000559A" w:rsidRPr="00BD02B4">
        <w:rPr>
          <w:rFonts w:cs="Arial"/>
          <w:bCs/>
          <w:sz w:val="28"/>
          <w:szCs w:val="28"/>
        </w:rPr>
        <w:t>por el Juzgado de Distrito</w:t>
      </w:r>
      <w:r w:rsidRPr="00BD02B4">
        <w:rPr>
          <w:rFonts w:cs="Arial"/>
          <w:bCs/>
          <w:sz w:val="28"/>
          <w:szCs w:val="28"/>
        </w:rPr>
        <w:t xml:space="preserve"> y</w:t>
      </w:r>
      <w:r w:rsidR="00996814" w:rsidRPr="00BD02B4">
        <w:rPr>
          <w:rFonts w:cs="Arial"/>
          <w:bCs/>
          <w:sz w:val="28"/>
          <w:szCs w:val="28"/>
        </w:rPr>
        <w:t>,</w:t>
      </w:r>
      <w:r w:rsidRPr="00BD02B4">
        <w:rPr>
          <w:rFonts w:cs="Arial"/>
          <w:bCs/>
          <w:sz w:val="28"/>
          <w:szCs w:val="28"/>
        </w:rPr>
        <w:t xml:space="preserve"> </w:t>
      </w:r>
      <w:r w:rsidR="00C9251A" w:rsidRPr="00BD02B4">
        <w:rPr>
          <w:rFonts w:cs="Arial"/>
          <w:bCs/>
          <w:sz w:val="28"/>
          <w:szCs w:val="28"/>
        </w:rPr>
        <w:t>por tanto</w:t>
      </w:r>
      <w:r w:rsidRPr="00BD02B4">
        <w:rPr>
          <w:rFonts w:cs="Arial"/>
          <w:bCs/>
          <w:sz w:val="28"/>
          <w:szCs w:val="28"/>
        </w:rPr>
        <w:t xml:space="preserve">, fueron desestimados </w:t>
      </w:r>
      <w:r w:rsidR="00C9251A" w:rsidRPr="00BD02B4">
        <w:rPr>
          <w:rFonts w:cs="Arial"/>
          <w:bCs/>
          <w:sz w:val="28"/>
          <w:szCs w:val="28"/>
        </w:rPr>
        <w:t>por el órgano</w:t>
      </w:r>
      <w:r w:rsidRPr="00BD02B4">
        <w:rPr>
          <w:rFonts w:cs="Arial"/>
          <w:bCs/>
          <w:sz w:val="28"/>
          <w:szCs w:val="28"/>
        </w:rPr>
        <w:t xml:space="preserve"> colegiado del conocimiento</w:t>
      </w:r>
      <w:r w:rsidR="00C9251A" w:rsidRPr="00BD02B4">
        <w:rPr>
          <w:rFonts w:cs="Arial"/>
          <w:bCs/>
          <w:sz w:val="28"/>
          <w:szCs w:val="28"/>
        </w:rPr>
        <w:t xml:space="preserve">; sin embargo, </w:t>
      </w:r>
      <w:r w:rsidR="004B3E3F" w:rsidRPr="00BD02B4">
        <w:rPr>
          <w:rFonts w:cs="Arial"/>
          <w:bCs/>
          <w:sz w:val="28"/>
          <w:szCs w:val="28"/>
        </w:rPr>
        <w:t>ello no fue reflejado en los puntos resolutivos de</w:t>
      </w:r>
      <w:r w:rsidR="00FC156E" w:rsidRPr="00BD02B4">
        <w:rPr>
          <w:rFonts w:cs="Arial"/>
          <w:bCs/>
          <w:sz w:val="28"/>
          <w:szCs w:val="28"/>
        </w:rPr>
        <w:t xml:space="preserve"> su sentencia</w:t>
      </w:r>
      <w:r w:rsidRPr="00BD02B4">
        <w:rPr>
          <w:rFonts w:cs="Arial"/>
          <w:bCs/>
          <w:sz w:val="28"/>
          <w:szCs w:val="28"/>
        </w:rPr>
        <w:t>.</w:t>
      </w:r>
    </w:p>
    <w:p w14:paraId="2607E5F4" w14:textId="77777777" w:rsidR="00930796" w:rsidRPr="00BD02B4" w:rsidRDefault="00930796" w:rsidP="00930796">
      <w:pPr>
        <w:pStyle w:val="corte4fondo"/>
        <w:ind w:right="-232" w:firstLine="0"/>
        <w:contextualSpacing/>
        <w:rPr>
          <w:rFonts w:cs="Arial"/>
          <w:bCs/>
          <w:sz w:val="28"/>
          <w:szCs w:val="28"/>
          <w:lang w:val="es-MX"/>
        </w:rPr>
      </w:pPr>
    </w:p>
    <w:p w14:paraId="126DD81E" w14:textId="006EEE2B" w:rsidR="002D15D5" w:rsidRPr="00BD02B4" w:rsidRDefault="000F55BA" w:rsidP="002D15D5">
      <w:pPr>
        <w:pStyle w:val="corte4fondo"/>
        <w:numPr>
          <w:ilvl w:val="0"/>
          <w:numId w:val="5"/>
        </w:numPr>
        <w:ind w:left="0" w:right="-232" w:hanging="567"/>
        <w:contextualSpacing/>
        <w:rPr>
          <w:rFonts w:cs="Arial"/>
          <w:bCs/>
          <w:sz w:val="28"/>
          <w:szCs w:val="28"/>
          <w:lang w:val="es-MX"/>
        </w:rPr>
      </w:pPr>
      <w:r w:rsidRPr="00BD02B4">
        <w:rPr>
          <w:rFonts w:cs="Arial"/>
          <w:bCs/>
          <w:sz w:val="28"/>
          <w:szCs w:val="28"/>
          <w:lang w:val="es-MX"/>
        </w:rPr>
        <w:lastRenderedPageBreak/>
        <w:t>En ese sentido</w:t>
      </w:r>
      <w:r w:rsidR="00197AEA" w:rsidRPr="00BD02B4">
        <w:rPr>
          <w:rFonts w:cs="Arial"/>
          <w:bCs/>
          <w:sz w:val="28"/>
          <w:szCs w:val="28"/>
          <w:lang w:val="es-MX"/>
        </w:rPr>
        <w:t xml:space="preserve">, </w:t>
      </w:r>
      <w:r w:rsidR="00817A4D" w:rsidRPr="00BD02B4">
        <w:rPr>
          <w:rFonts w:cs="Arial"/>
          <w:bCs/>
          <w:sz w:val="28"/>
          <w:szCs w:val="28"/>
          <w:lang w:val="es-MX"/>
        </w:rPr>
        <w:t xml:space="preserve">lo procedente es </w:t>
      </w:r>
      <w:r w:rsidR="00930796" w:rsidRPr="00BD02B4">
        <w:rPr>
          <w:rFonts w:cs="Arial"/>
          <w:bCs/>
          <w:sz w:val="28"/>
          <w:szCs w:val="28"/>
          <w:lang w:val="es-MX"/>
        </w:rPr>
        <w:t xml:space="preserve">corregir dicha incongruencia </w:t>
      </w:r>
      <w:r w:rsidR="003C02C4" w:rsidRPr="00BD02B4">
        <w:rPr>
          <w:rFonts w:cs="Arial"/>
          <w:bCs/>
          <w:sz w:val="28"/>
          <w:szCs w:val="28"/>
          <w:lang w:val="es-MX"/>
        </w:rPr>
        <w:t>y reflejar la decisión</w:t>
      </w:r>
      <w:r w:rsidR="00886029" w:rsidRPr="00BD02B4">
        <w:rPr>
          <w:rFonts w:cs="Arial"/>
          <w:bCs/>
          <w:sz w:val="28"/>
          <w:szCs w:val="28"/>
          <w:lang w:val="es-MX"/>
        </w:rPr>
        <w:t xml:space="preserve"> del T</w:t>
      </w:r>
      <w:r w:rsidR="00784F44" w:rsidRPr="00BD02B4">
        <w:rPr>
          <w:rFonts w:cs="Arial"/>
          <w:bCs/>
          <w:sz w:val="28"/>
          <w:szCs w:val="28"/>
          <w:lang w:val="es-MX"/>
        </w:rPr>
        <w:t>r</w:t>
      </w:r>
      <w:r w:rsidR="00886029" w:rsidRPr="00BD02B4">
        <w:rPr>
          <w:rFonts w:cs="Arial"/>
          <w:bCs/>
          <w:sz w:val="28"/>
          <w:szCs w:val="28"/>
          <w:lang w:val="es-MX"/>
        </w:rPr>
        <w:t xml:space="preserve">ibunal </w:t>
      </w:r>
      <w:r w:rsidR="00FC156E" w:rsidRPr="00BD02B4">
        <w:rPr>
          <w:rFonts w:cs="Arial"/>
          <w:bCs/>
          <w:sz w:val="28"/>
          <w:szCs w:val="28"/>
          <w:lang w:val="es-MX"/>
        </w:rPr>
        <w:t>C</w:t>
      </w:r>
      <w:r w:rsidR="00886029" w:rsidRPr="00BD02B4">
        <w:rPr>
          <w:rFonts w:cs="Arial"/>
          <w:bCs/>
          <w:sz w:val="28"/>
          <w:szCs w:val="28"/>
          <w:lang w:val="es-MX"/>
        </w:rPr>
        <w:t>olegiado antes referida</w:t>
      </w:r>
      <w:r w:rsidR="00FC156E" w:rsidRPr="00BD02B4">
        <w:rPr>
          <w:rFonts w:cs="Arial"/>
          <w:bCs/>
          <w:sz w:val="28"/>
          <w:szCs w:val="28"/>
          <w:lang w:val="es-MX"/>
        </w:rPr>
        <w:t>,</w:t>
      </w:r>
      <w:r w:rsidR="00817A4D" w:rsidRPr="00BD02B4">
        <w:rPr>
          <w:rFonts w:cs="Arial"/>
          <w:bCs/>
          <w:sz w:val="28"/>
          <w:szCs w:val="28"/>
          <w:lang w:val="es-MX"/>
        </w:rPr>
        <w:t xml:space="preserve"> </w:t>
      </w:r>
      <w:r w:rsidR="00D77FDD" w:rsidRPr="00BD02B4">
        <w:rPr>
          <w:rFonts w:cs="Arial"/>
          <w:bCs/>
          <w:sz w:val="28"/>
          <w:szCs w:val="28"/>
          <w:lang w:val="es-MX"/>
        </w:rPr>
        <w:t xml:space="preserve">en los puntos </w:t>
      </w:r>
      <w:r w:rsidR="003C02C4" w:rsidRPr="00BD02B4">
        <w:rPr>
          <w:rFonts w:cs="Arial"/>
          <w:bCs/>
          <w:sz w:val="28"/>
          <w:szCs w:val="28"/>
          <w:lang w:val="es-MX"/>
        </w:rPr>
        <w:t>resolutivos</w:t>
      </w:r>
      <w:r w:rsidR="00FC156E" w:rsidRPr="00BD02B4">
        <w:rPr>
          <w:rFonts w:cs="Arial"/>
          <w:bCs/>
          <w:sz w:val="28"/>
          <w:szCs w:val="28"/>
          <w:lang w:val="es-MX"/>
        </w:rPr>
        <w:t xml:space="preserve"> de la presente ejecutoria</w:t>
      </w:r>
      <w:r w:rsidR="00C045B4" w:rsidRPr="00BD02B4">
        <w:rPr>
          <w:rFonts w:cs="Arial"/>
          <w:bCs/>
          <w:sz w:val="28"/>
          <w:szCs w:val="28"/>
          <w:lang w:val="es-MX"/>
        </w:rPr>
        <w:t>.</w:t>
      </w:r>
    </w:p>
    <w:p w14:paraId="5DA44923" w14:textId="51B92882" w:rsidR="004F1369" w:rsidRDefault="004F1369" w:rsidP="00004076">
      <w:pPr>
        <w:pStyle w:val="corte4fondo"/>
        <w:ind w:right="-232" w:firstLine="0"/>
        <w:rPr>
          <w:sz w:val="28"/>
          <w:szCs w:val="28"/>
        </w:rPr>
      </w:pPr>
    </w:p>
    <w:p w14:paraId="597FAE26" w14:textId="77777777" w:rsidR="008755FE" w:rsidRPr="00BD02B4" w:rsidRDefault="008755FE" w:rsidP="008755FE">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DECISIÓN </w:t>
      </w:r>
    </w:p>
    <w:p w14:paraId="1248D248" w14:textId="77777777" w:rsidR="008755FE" w:rsidRPr="00BD02B4" w:rsidRDefault="008755FE" w:rsidP="008755FE">
      <w:pPr>
        <w:pStyle w:val="corte4fondo"/>
        <w:ind w:left="1080" w:right="-232" w:firstLine="0"/>
        <w:rPr>
          <w:rFonts w:cs="Arial"/>
          <w:b/>
          <w:bCs/>
          <w:sz w:val="28"/>
          <w:szCs w:val="28"/>
        </w:rPr>
      </w:pPr>
    </w:p>
    <w:p w14:paraId="0EB7CBE8" w14:textId="77777777" w:rsidR="008755FE" w:rsidRPr="00BD02B4" w:rsidRDefault="008755FE" w:rsidP="008755FE">
      <w:pPr>
        <w:pStyle w:val="corte4fondo"/>
        <w:numPr>
          <w:ilvl w:val="0"/>
          <w:numId w:val="5"/>
        </w:numPr>
        <w:ind w:left="0" w:right="-232" w:hanging="567"/>
        <w:contextualSpacing/>
        <w:rPr>
          <w:rFonts w:cs="Arial"/>
          <w:sz w:val="28"/>
          <w:szCs w:val="28"/>
        </w:rPr>
      </w:pPr>
      <w:r w:rsidRPr="00BD02B4">
        <w:rPr>
          <w:rFonts w:cs="Arial"/>
          <w:sz w:val="28"/>
          <w:szCs w:val="28"/>
        </w:rPr>
        <w:t>De acuerdo con lo expuesto, al haber resultado infundados e inoperantes los conceptos de violación, lo procedente es negar el amparo en relación con el artículo 28, fracción XXXII de la Ley del Impuesto sobre la Renta vigente el uno de enero de dos mil veinte.</w:t>
      </w:r>
    </w:p>
    <w:p w14:paraId="6FACF6A9" w14:textId="77777777" w:rsidR="008755FE" w:rsidRPr="00BD02B4" w:rsidRDefault="008755FE" w:rsidP="00004076">
      <w:pPr>
        <w:pStyle w:val="corte4fondo"/>
        <w:ind w:right="-232" w:firstLine="0"/>
        <w:rPr>
          <w:sz w:val="28"/>
          <w:szCs w:val="28"/>
        </w:rPr>
      </w:pPr>
    </w:p>
    <w:p w14:paraId="6C98C7E2" w14:textId="77777777" w:rsidR="000724C8" w:rsidRPr="00BD02B4" w:rsidRDefault="000724C8" w:rsidP="008755FE">
      <w:pPr>
        <w:pStyle w:val="Prrafodelista"/>
        <w:spacing w:line="360" w:lineRule="auto"/>
        <w:ind w:left="0" w:right="-232" w:firstLine="708"/>
        <w:jc w:val="both"/>
        <w:rPr>
          <w:rFonts w:ascii="Arial" w:hAnsi="Arial" w:cs="Arial"/>
          <w:bCs/>
          <w:sz w:val="28"/>
          <w:szCs w:val="28"/>
        </w:rPr>
      </w:pPr>
      <w:r w:rsidRPr="00BD02B4">
        <w:rPr>
          <w:rFonts w:ascii="Arial" w:hAnsi="Arial" w:cs="Arial"/>
          <w:bCs/>
          <w:sz w:val="28"/>
          <w:szCs w:val="28"/>
        </w:rPr>
        <w:t>Por lo anteriormente expuesto y fundado, se resuelve:</w:t>
      </w:r>
    </w:p>
    <w:p w14:paraId="3C391560" w14:textId="77777777" w:rsidR="000724C8" w:rsidRPr="00BD02B4" w:rsidRDefault="000724C8" w:rsidP="00FC156E">
      <w:pPr>
        <w:pStyle w:val="Prrafodelista"/>
        <w:spacing w:line="360" w:lineRule="auto"/>
        <w:ind w:left="0" w:right="-232"/>
        <w:jc w:val="both"/>
        <w:rPr>
          <w:rFonts w:ascii="Arial" w:hAnsi="Arial" w:cs="Arial"/>
          <w:bCs/>
          <w:sz w:val="28"/>
          <w:szCs w:val="28"/>
        </w:rPr>
      </w:pPr>
    </w:p>
    <w:p w14:paraId="349ADF84" w14:textId="28D908DD" w:rsidR="00590671" w:rsidRPr="00BD02B4" w:rsidRDefault="00683647" w:rsidP="008755FE">
      <w:pPr>
        <w:spacing w:line="360" w:lineRule="auto"/>
        <w:ind w:right="-232" w:firstLine="708"/>
        <w:jc w:val="both"/>
        <w:rPr>
          <w:rFonts w:ascii="Arial" w:hAnsi="Arial" w:cs="Arial"/>
          <w:sz w:val="28"/>
          <w:szCs w:val="28"/>
        </w:rPr>
      </w:pPr>
      <w:bookmarkStart w:id="4" w:name="_Hlk103773968"/>
      <w:r w:rsidRPr="00BD02B4">
        <w:rPr>
          <w:rFonts w:ascii="Arial" w:hAnsi="Arial" w:cs="Arial"/>
          <w:b/>
          <w:bCs/>
          <w:sz w:val="28"/>
          <w:szCs w:val="28"/>
        </w:rPr>
        <w:t>PRIMER</w:t>
      </w:r>
      <w:r w:rsidR="00857165" w:rsidRPr="00BD02B4">
        <w:rPr>
          <w:rFonts w:ascii="Arial" w:hAnsi="Arial" w:cs="Arial"/>
          <w:b/>
          <w:bCs/>
          <w:sz w:val="28"/>
          <w:szCs w:val="28"/>
        </w:rPr>
        <w:t>O</w:t>
      </w:r>
      <w:r w:rsidR="00590671" w:rsidRPr="00BD02B4">
        <w:rPr>
          <w:rFonts w:ascii="Arial" w:hAnsi="Arial" w:cs="Arial"/>
          <w:b/>
          <w:bCs/>
          <w:sz w:val="28"/>
          <w:szCs w:val="28"/>
        </w:rPr>
        <w:t xml:space="preserve">. </w:t>
      </w:r>
      <w:r w:rsidR="00590671" w:rsidRPr="00BD02B4">
        <w:rPr>
          <w:rFonts w:ascii="Arial" w:hAnsi="Arial" w:cs="Arial"/>
          <w:sz w:val="28"/>
          <w:szCs w:val="28"/>
        </w:rPr>
        <w:t>La Justicia de la Unión no ampara ni protege a</w:t>
      </w:r>
      <w:r w:rsidR="00590671" w:rsidRPr="00BD02B4">
        <w:rPr>
          <w:rFonts w:ascii="Arial" w:hAnsi="Arial" w:cs="Arial"/>
          <w:b/>
          <w:sz w:val="28"/>
          <w:szCs w:val="28"/>
        </w:rPr>
        <w:t xml:space="preserve"> </w:t>
      </w:r>
      <w:r w:rsidR="009220E7" w:rsidRPr="00BD02B4">
        <w:rPr>
          <w:rFonts w:ascii="Arial" w:hAnsi="Arial" w:cs="Arial"/>
          <w:b/>
          <w:bCs/>
          <w:color w:val="FF0000"/>
          <w:sz w:val="28"/>
          <w:szCs w:val="28"/>
        </w:rPr>
        <w:t>TURISMO GARGO, SOCIEDAD ANÓNIMA DE CAPITAL VARIABLE</w:t>
      </w:r>
      <w:r w:rsidR="00590671" w:rsidRPr="00BD02B4">
        <w:rPr>
          <w:rFonts w:ascii="Arial" w:hAnsi="Arial" w:cs="Arial"/>
          <w:b/>
          <w:sz w:val="28"/>
          <w:szCs w:val="28"/>
        </w:rPr>
        <w:t xml:space="preserve">, </w:t>
      </w:r>
      <w:r w:rsidR="00590671" w:rsidRPr="00BD02B4">
        <w:rPr>
          <w:rFonts w:ascii="Arial" w:hAnsi="Arial" w:cs="Arial"/>
          <w:bCs/>
          <w:sz w:val="28"/>
          <w:szCs w:val="28"/>
        </w:rPr>
        <w:t>en</w:t>
      </w:r>
      <w:r w:rsidR="00590671" w:rsidRPr="00BD02B4">
        <w:rPr>
          <w:rFonts w:ascii="Arial" w:hAnsi="Arial" w:cs="Arial"/>
          <w:b/>
          <w:sz w:val="28"/>
          <w:szCs w:val="28"/>
        </w:rPr>
        <w:t xml:space="preserve"> </w:t>
      </w:r>
      <w:r w:rsidR="00590671" w:rsidRPr="00BD02B4">
        <w:rPr>
          <w:rFonts w:ascii="Arial" w:hAnsi="Arial" w:cs="Arial"/>
          <w:sz w:val="28"/>
          <w:szCs w:val="28"/>
        </w:rPr>
        <w:t xml:space="preserve">contra del artículo 28, fracción XXXII de la Ley del Impuesto sobre la Renta vigente el uno de enero de dos mil veinte. </w:t>
      </w:r>
    </w:p>
    <w:p w14:paraId="347D8E9D" w14:textId="77777777" w:rsidR="00590671" w:rsidRPr="00BD02B4" w:rsidRDefault="00590671" w:rsidP="00FC156E">
      <w:pPr>
        <w:spacing w:line="360" w:lineRule="auto"/>
        <w:ind w:right="-232"/>
        <w:jc w:val="both"/>
        <w:rPr>
          <w:rFonts w:ascii="Arial" w:hAnsi="Arial" w:cs="Arial"/>
          <w:sz w:val="28"/>
          <w:szCs w:val="28"/>
        </w:rPr>
      </w:pPr>
    </w:p>
    <w:p w14:paraId="4FD4F7B3" w14:textId="4E52C7F5" w:rsidR="00590671" w:rsidRPr="00BD02B4" w:rsidRDefault="00683647" w:rsidP="008755FE">
      <w:pPr>
        <w:spacing w:line="360" w:lineRule="auto"/>
        <w:ind w:right="-232" w:firstLine="708"/>
        <w:jc w:val="both"/>
        <w:rPr>
          <w:rFonts w:ascii="Arial" w:hAnsi="Arial" w:cs="Arial"/>
          <w:sz w:val="28"/>
          <w:szCs w:val="28"/>
        </w:rPr>
      </w:pPr>
      <w:r w:rsidRPr="00BD02B4">
        <w:rPr>
          <w:rFonts w:ascii="Arial" w:hAnsi="Arial" w:cs="Arial"/>
          <w:b/>
          <w:bCs/>
          <w:sz w:val="28"/>
          <w:szCs w:val="28"/>
        </w:rPr>
        <w:t>SEGUNDO.</w:t>
      </w:r>
      <w:r w:rsidR="00590671" w:rsidRPr="00BD02B4">
        <w:rPr>
          <w:rFonts w:ascii="Arial" w:hAnsi="Arial" w:cs="Arial"/>
          <w:sz w:val="28"/>
          <w:szCs w:val="28"/>
        </w:rPr>
        <w:t xml:space="preserve"> </w:t>
      </w:r>
      <w:r w:rsidR="004F4B30" w:rsidRPr="00BD02B4">
        <w:rPr>
          <w:rFonts w:ascii="Arial" w:hAnsi="Arial" w:cs="Arial"/>
          <w:sz w:val="28"/>
          <w:szCs w:val="28"/>
        </w:rPr>
        <w:t xml:space="preserve">Es </w:t>
      </w:r>
      <w:r w:rsidR="00591BD6" w:rsidRPr="00BD02B4">
        <w:rPr>
          <w:rFonts w:ascii="Arial" w:hAnsi="Arial" w:cs="Arial"/>
          <w:sz w:val="28"/>
          <w:szCs w:val="28"/>
        </w:rPr>
        <w:t>infundado</w:t>
      </w:r>
      <w:r w:rsidR="00590671" w:rsidRPr="00BD02B4">
        <w:rPr>
          <w:rFonts w:ascii="Arial" w:hAnsi="Arial" w:cs="Arial"/>
          <w:sz w:val="28"/>
          <w:szCs w:val="28"/>
        </w:rPr>
        <w:t xml:space="preserve"> el recurso de revisión adhesiv</w:t>
      </w:r>
      <w:r w:rsidR="00DB30AF" w:rsidRPr="00BD02B4">
        <w:rPr>
          <w:rFonts w:ascii="Arial" w:hAnsi="Arial" w:cs="Arial"/>
          <w:sz w:val="28"/>
          <w:szCs w:val="28"/>
        </w:rPr>
        <w:t>a</w:t>
      </w:r>
      <w:r w:rsidR="00590671" w:rsidRPr="00BD02B4">
        <w:rPr>
          <w:rFonts w:ascii="Arial" w:hAnsi="Arial" w:cs="Arial"/>
          <w:sz w:val="28"/>
          <w:szCs w:val="28"/>
        </w:rPr>
        <w:t xml:space="preserve">. </w:t>
      </w:r>
    </w:p>
    <w:bookmarkEnd w:id="4"/>
    <w:p w14:paraId="382F5FA0" w14:textId="77777777" w:rsidR="00590671" w:rsidRPr="00BD02B4" w:rsidRDefault="00590671" w:rsidP="00FC156E">
      <w:pPr>
        <w:pStyle w:val="corte4fondo"/>
        <w:tabs>
          <w:tab w:val="left" w:pos="426"/>
        </w:tabs>
        <w:ind w:right="-232" w:firstLine="0"/>
        <w:rPr>
          <w:rFonts w:cs="Arial"/>
          <w:b/>
          <w:sz w:val="28"/>
          <w:szCs w:val="28"/>
        </w:rPr>
      </w:pPr>
    </w:p>
    <w:p w14:paraId="0C744F8D" w14:textId="269DAC32" w:rsidR="00590671" w:rsidRPr="00BD02B4" w:rsidRDefault="00590671" w:rsidP="00FC156E">
      <w:pPr>
        <w:spacing w:line="360" w:lineRule="auto"/>
        <w:ind w:right="-232" w:firstLine="708"/>
        <w:jc w:val="both"/>
        <w:rPr>
          <w:rFonts w:ascii="Arial" w:hAnsi="Arial" w:cs="Arial"/>
          <w:sz w:val="28"/>
          <w:szCs w:val="28"/>
        </w:rPr>
      </w:pPr>
      <w:r w:rsidRPr="00BD02B4">
        <w:rPr>
          <w:rFonts w:ascii="Arial" w:hAnsi="Arial" w:cs="Arial"/>
          <w:b/>
          <w:sz w:val="28"/>
          <w:szCs w:val="28"/>
        </w:rPr>
        <w:t>Notifíquese;</w:t>
      </w:r>
      <w:r w:rsidRPr="00BD02B4">
        <w:rPr>
          <w:rFonts w:ascii="Arial" w:hAnsi="Arial" w:cs="Arial"/>
          <w:sz w:val="28"/>
          <w:szCs w:val="28"/>
        </w:rPr>
        <w:t xml:space="preserve"> con testimonio de esta ejecutoria, devuélvanse los autos relativos al lugar de su origen y, en su oportunidad, archívese </w:t>
      </w:r>
      <w:proofErr w:type="gramStart"/>
      <w:r w:rsidRPr="00BD02B4">
        <w:rPr>
          <w:rFonts w:ascii="Arial" w:hAnsi="Arial" w:cs="Arial"/>
          <w:sz w:val="28"/>
          <w:szCs w:val="28"/>
        </w:rPr>
        <w:t>el toca</w:t>
      </w:r>
      <w:proofErr w:type="gramEnd"/>
      <w:r w:rsidRPr="00BD02B4">
        <w:rPr>
          <w:rFonts w:ascii="Arial" w:hAnsi="Arial" w:cs="Arial"/>
          <w:sz w:val="28"/>
          <w:szCs w:val="28"/>
        </w:rPr>
        <w:t xml:space="preserve"> como asunto concluido.</w:t>
      </w:r>
    </w:p>
    <w:p w14:paraId="67D61B93" w14:textId="1CF271CE" w:rsidR="00C80682" w:rsidRPr="00BD02B4" w:rsidRDefault="00C80682" w:rsidP="00724A03">
      <w:pPr>
        <w:pStyle w:val="corte4fondo"/>
        <w:ind w:right="-232" w:firstLine="0"/>
        <w:rPr>
          <w:rFonts w:cs="Arial"/>
          <w:sz w:val="28"/>
          <w:szCs w:val="28"/>
          <w:lang w:val="es-ES"/>
        </w:rPr>
      </w:pPr>
    </w:p>
    <w:p w14:paraId="701885D6" w14:textId="372E011A" w:rsidR="0050626B" w:rsidRPr="00BD02B4" w:rsidRDefault="0050626B" w:rsidP="00724A03">
      <w:pPr>
        <w:spacing w:line="360" w:lineRule="auto"/>
        <w:ind w:right="-232" w:firstLine="708"/>
        <w:contextualSpacing/>
        <w:jc w:val="both"/>
        <w:rPr>
          <w:rFonts w:ascii="Arial" w:hAnsi="Arial" w:cs="Arial"/>
          <w:sz w:val="28"/>
          <w:szCs w:val="28"/>
          <w:lang w:val="es-ES"/>
        </w:rPr>
      </w:pPr>
      <w:r w:rsidRPr="00BD02B4">
        <w:rPr>
          <w:rFonts w:ascii="Arial" w:hAnsi="Arial" w:cs="Arial"/>
          <w:sz w:val="28"/>
          <w:szCs w:val="28"/>
          <w:lang w:val="es-ES"/>
        </w:rPr>
        <w:t xml:space="preserve">Así lo resolvió la Primera Sala de la Suprema Corte de Justicia de la Nación, por </w:t>
      </w:r>
      <w:r w:rsidR="00255065" w:rsidRPr="00BD02B4">
        <w:rPr>
          <w:rFonts w:ascii="Arial" w:hAnsi="Arial" w:cs="Arial"/>
          <w:b/>
          <w:sz w:val="28"/>
          <w:szCs w:val="28"/>
          <w:lang w:val="es-ES"/>
        </w:rPr>
        <w:t>mayoría</w:t>
      </w:r>
      <w:r w:rsidRPr="00BD02B4">
        <w:rPr>
          <w:rFonts w:ascii="Arial" w:hAnsi="Arial" w:cs="Arial"/>
          <w:b/>
          <w:i/>
          <w:sz w:val="28"/>
          <w:szCs w:val="28"/>
          <w:lang w:val="es-ES"/>
        </w:rPr>
        <w:t xml:space="preserve"> </w:t>
      </w:r>
      <w:r w:rsidRPr="00BD02B4">
        <w:rPr>
          <w:rFonts w:ascii="Arial" w:hAnsi="Arial" w:cs="Arial"/>
          <w:b/>
          <w:sz w:val="28"/>
          <w:szCs w:val="28"/>
          <w:lang w:val="es-ES"/>
        </w:rPr>
        <w:t xml:space="preserve">de </w:t>
      </w:r>
      <w:r w:rsidR="00277843" w:rsidRPr="00BD02B4">
        <w:rPr>
          <w:rFonts w:ascii="Arial" w:hAnsi="Arial" w:cs="Arial"/>
          <w:b/>
          <w:sz w:val="28"/>
          <w:szCs w:val="28"/>
          <w:lang w:val="es-ES"/>
        </w:rPr>
        <w:t xml:space="preserve">tres </w:t>
      </w:r>
      <w:r w:rsidRPr="00BD02B4">
        <w:rPr>
          <w:rFonts w:ascii="Arial" w:hAnsi="Arial" w:cs="Arial"/>
          <w:b/>
          <w:sz w:val="28"/>
          <w:szCs w:val="28"/>
          <w:lang w:val="es-ES"/>
        </w:rPr>
        <w:t>votos</w:t>
      </w:r>
      <w:r w:rsidRPr="00BD02B4">
        <w:rPr>
          <w:rFonts w:ascii="Arial" w:hAnsi="Arial" w:cs="Arial"/>
          <w:sz w:val="28"/>
          <w:szCs w:val="28"/>
          <w:lang w:val="es-ES"/>
        </w:rPr>
        <w:t xml:space="preserve"> de la </w:t>
      </w:r>
      <w:r w:rsidRPr="00BD02B4">
        <w:rPr>
          <w:rFonts w:ascii="Arial" w:hAnsi="Arial" w:cs="Arial"/>
          <w:sz w:val="28"/>
          <w:szCs w:val="28"/>
        </w:rPr>
        <w:t>Señora</w:t>
      </w:r>
      <w:r w:rsidRPr="00BD02B4">
        <w:rPr>
          <w:rFonts w:ascii="Arial" w:hAnsi="Arial" w:cs="Arial"/>
          <w:sz w:val="28"/>
          <w:szCs w:val="28"/>
          <w:lang w:val="es-ES"/>
        </w:rPr>
        <w:t xml:space="preserve"> y Señores </w:t>
      </w:r>
      <w:proofErr w:type="gramStart"/>
      <w:r w:rsidRPr="00BD02B4">
        <w:rPr>
          <w:rFonts w:ascii="Arial" w:hAnsi="Arial" w:cs="Arial"/>
          <w:sz w:val="28"/>
          <w:szCs w:val="28"/>
        </w:rPr>
        <w:t>Ministros</w:t>
      </w:r>
      <w:proofErr w:type="gramEnd"/>
      <w:r w:rsidRPr="00BD02B4">
        <w:rPr>
          <w:rFonts w:ascii="Arial" w:hAnsi="Arial" w:cs="Arial"/>
          <w:sz w:val="28"/>
          <w:szCs w:val="28"/>
          <w:lang w:val="es-ES"/>
        </w:rPr>
        <w:t>: Norma Lucía Piña Hernández,</w:t>
      </w:r>
      <w:r w:rsidR="00F144F1" w:rsidRPr="00BD02B4">
        <w:rPr>
          <w:rFonts w:ascii="Arial" w:hAnsi="Arial" w:cs="Arial"/>
          <w:sz w:val="28"/>
          <w:szCs w:val="28"/>
          <w:lang w:val="es-ES"/>
        </w:rPr>
        <w:t xml:space="preserve"> Alfredo Gutiérrez Ortiz Mena y</w:t>
      </w:r>
      <w:r w:rsidRPr="00BD02B4">
        <w:rPr>
          <w:rFonts w:ascii="Arial" w:hAnsi="Arial" w:cs="Arial"/>
          <w:sz w:val="28"/>
          <w:szCs w:val="28"/>
          <w:lang w:val="es-ES"/>
        </w:rPr>
        <w:t xml:space="preserve"> Jorge Mario Pardo Rebolledo (</w:t>
      </w:r>
      <w:proofErr w:type="gramStart"/>
      <w:r w:rsidRPr="00BD02B4">
        <w:rPr>
          <w:rFonts w:ascii="Arial" w:hAnsi="Arial" w:cs="Arial"/>
          <w:sz w:val="28"/>
          <w:szCs w:val="28"/>
          <w:lang w:val="es-ES"/>
        </w:rPr>
        <w:t>Presidente</w:t>
      </w:r>
      <w:proofErr w:type="gramEnd"/>
      <w:r w:rsidRPr="00BD02B4">
        <w:rPr>
          <w:rFonts w:ascii="Arial" w:hAnsi="Arial" w:cs="Arial"/>
          <w:sz w:val="28"/>
          <w:szCs w:val="28"/>
          <w:lang w:val="es-ES"/>
        </w:rPr>
        <w:t xml:space="preserve"> en Funciones y Ponente)</w:t>
      </w:r>
      <w:r w:rsidR="00F144F1" w:rsidRPr="00BD02B4">
        <w:rPr>
          <w:rFonts w:ascii="Arial" w:hAnsi="Arial" w:cs="Arial"/>
          <w:sz w:val="28"/>
          <w:szCs w:val="28"/>
          <w:lang w:val="es-ES"/>
        </w:rPr>
        <w:t xml:space="preserve">. </w:t>
      </w:r>
      <w:r w:rsidR="00D26530" w:rsidRPr="00BD02B4">
        <w:rPr>
          <w:rFonts w:ascii="Arial" w:hAnsi="Arial" w:cs="Arial"/>
          <w:sz w:val="28"/>
          <w:szCs w:val="28"/>
          <w:lang w:val="es-ES"/>
        </w:rPr>
        <w:t xml:space="preserve">El señor </w:t>
      </w:r>
      <w:proofErr w:type="gramStart"/>
      <w:r w:rsidR="00D26530" w:rsidRPr="00BD02B4">
        <w:rPr>
          <w:rFonts w:ascii="Arial" w:hAnsi="Arial" w:cs="Arial"/>
          <w:sz w:val="28"/>
          <w:szCs w:val="28"/>
          <w:lang w:val="es-ES"/>
        </w:rPr>
        <w:t>Ministro</w:t>
      </w:r>
      <w:proofErr w:type="gramEnd"/>
      <w:r w:rsidR="00D26530" w:rsidRPr="00BD02B4">
        <w:rPr>
          <w:rFonts w:ascii="Arial" w:hAnsi="Arial" w:cs="Arial"/>
          <w:sz w:val="28"/>
          <w:szCs w:val="28"/>
          <w:lang w:val="es-ES"/>
        </w:rPr>
        <w:t xml:space="preserve"> </w:t>
      </w:r>
      <w:r w:rsidR="00D95E80" w:rsidRPr="00BD02B4">
        <w:rPr>
          <w:rFonts w:ascii="Arial" w:hAnsi="Arial" w:cs="Arial"/>
          <w:sz w:val="28"/>
          <w:szCs w:val="28"/>
          <w:lang w:val="es-ES"/>
        </w:rPr>
        <w:t xml:space="preserve">Juan Luis </w:t>
      </w:r>
      <w:r w:rsidR="00D26530" w:rsidRPr="00BD02B4">
        <w:rPr>
          <w:rFonts w:ascii="Arial" w:hAnsi="Arial" w:cs="Arial"/>
          <w:sz w:val="28"/>
          <w:szCs w:val="28"/>
          <w:lang w:val="es-ES"/>
        </w:rPr>
        <w:t>González Alcántara Carrancá votó en contra</w:t>
      </w:r>
      <w:r w:rsidR="00F144F1" w:rsidRPr="00BD02B4">
        <w:rPr>
          <w:rFonts w:ascii="Arial" w:hAnsi="Arial" w:cs="Arial"/>
          <w:sz w:val="28"/>
          <w:szCs w:val="28"/>
          <w:lang w:val="es-ES"/>
        </w:rPr>
        <w:t xml:space="preserve"> y se reserva el derecho de formular voto particular</w:t>
      </w:r>
      <w:r w:rsidR="00D26530" w:rsidRPr="00BD02B4">
        <w:rPr>
          <w:rFonts w:ascii="Arial" w:hAnsi="Arial" w:cs="Arial"/>
          <w:sz w:val="28"/>
          <w:szCs w:val="28"/>
          <w:lang w:val="es-ES"/>
        </w:rPr>
        <w:t>.</w:t>
      </w:r>
      <w:r w:rsidR="000A7186" w:rsidRPr="00BD02B4">
        <w:rPr>
          <w:rFonts w:ascii="Arial" w:hAnsi="Arial" w:cs="Arial"/>
          <w:sz w:val="28"/>
          <w:szCs w:val="28"/>
          <w:lang w:val="es-ES"/>
        </w:rPr>
        <w:t xml:space="preserve"> </w:t>
      </w:r>
      <w:r w:rsidRPr="00BD02B4">
        <w:rPr>
          <w:rFonts w:ascii="Arial" w:hAnsi="Arial" w:cs="Arial"/>
          <w:sz w:val="28"/>
          <w:szCs w:val="28"/>
          <w:lang w:val="es-ES"/>
        </w:rPr>
        <w:t xml:space="preserve">Ausente: </w:t>
      </w:r>
      <w:proofErr w:type="gramStart"/>
      <w:r w:rsidRPr="00BD02B4">
        <w:rPr>
          <w:rFonts w:ascii="Arial" w:hAnsi="Arial" w:cs="Arial"/>
          <w:sz w:val="28"/>
          <w:szCs w:val="28"/>
          <w:lang w:val="es-ES"/>
        </w:rPr>
        <w:t>Ministra</w:t>
      </w:r>
      <w:proofErr w:type="gramEnd"/>
      <w:r w:rsidRPr="00BD02B4">
        <w:rPr>
          <w:rFonts w:ascii="Arial" w:hAnsi="Arial" w:cs="Arial"/>
          <w:sz w:val="28"/>
          <w:szCs w:val="28"/>
          <w:lang w:val="es-ES"/>
        </w:rPr>
        <w:t xml:space="preserve"> Ana Margarita Ríos Farjat.</w:t>
      </w:r>
    </w:p>
    <w:p w14:paraId="77D3457F" w14:textId="77777777" w:rsidR="0050626B" w:rsidRPr="00BD02B4" w:rsidRDefault="0050626B" w:rsidP="00724A03">
      <w:pPr>
        <w:pStyle w:val="corte4fondo"/>
        <w:ind w:right="-232" w:firstLine="0"/>
        <w:contextualSpacing/>
        <w:rPr>
          <w:rFonts w:cs="Arial"/>
          <w:sz w:val="28"/>
          <w:szCs w:val="28"/>
          <w:lang w:val="es-ES"/>
        </w:rPr>
      </w:pPr>
    </w:p>
    <w:p w14:paraId="79945DE3" w14:textId="77777777" w:rsidR="001259BD" w:rsidRPr="00BD02B4" w:rsidRDefault="001259BD" w:rsidP="0050626B">
      <w:pPr>
        <w:pStyle w:val="corte4fondo"/>
        <w:ind w:right="-232" w:firstLine="0"/>
        <w:rPr>
          <w:rFonts w:cs="Arial"/>
          <w:sz w:val="28"/>
          <w:szCs w:val="28"/>
          <w:lang w:val="es-ES"/>
        </w:rPr>
      </w:pPr>
    </w:p>
    <w:p w14:paraId="53D12F48" w14:textId="2E31D361" w:rsidR="001259BD" w:rsidRPr="00BD02B4" w:rsidRDefault="001259BD" w:rsidP="0050626B">
      <w:pPr>
        <w:pStyle w:val="corte4fondo"/>
        <w:ind w:right="-232" w:firstLine="0"/>
        <w:rPr>
          <w:rFonts w:cs="Arial"/>
          <w:sz w:val="28"/>
          <w:szCs w:val="28"/>
          <w:lang w:val="es-ES"/>
        </w:rPr>
      </w:pPr>
    </w:p>
    <w:p w14:paraId="4886F060" w14:textId="77777777" w:rsidR="004E01F2" w:rsidRPr="00BD02B4" w:rsidRDefault="004E01F2" w:rsidP="0050626B">
      <w:pPr>
        <w:pStyle w:val="corte4fondo"/>
        <w:ind w:right="-232" w:firstLine="0"/>
        <w:rPr>
          <w:rFonts w:cs="Arial"/>
          <w:sz w:val="28"/>
          <w:szCs w:val="28"/>
          <w:lang w:val="es-ES"/>
        </w:rPr>
      </w:pPr>
    </w:p>
    <w:p w14:paraId="7F1E028F" w14:textId="1B0FCB9A" w:rsidR="0050626B" w:rsidRPr="00BD02B4" w:rsidRDefault="0050626B" w:rsidP="0050626B">
      <w:pPr>
        <w:pStyle w:val="corte4fondo"/>
        <w:ind w:right="-232" w:firstLine="0"/>
        <w:rPr>
          <w:rFonts w:cs="Arial"/>
          <w:sz w:val="28"/>
          <w:szCs w:val="28"/>
          <w:lang w:val="es-ES"/>
        </w:rPr>
      </w:pPr>
      <w:r w:rsidRPr="00BD02B4">
        <w:rPr>
          <w:rFonts w:cs="Arial"/>
          <w:sz w:val="28"/>
          <w:szCs w:val="28"/>
          <w:lang w:val="es-ES"/>
        </w:rPr>
        <w:t xml:space="preserve">Firman el </w:t>
      </w:r>
      <w:proofErr w:type="gramStart"/>
      <w:r w:rsidRPr="00BD02B4">
        <w:rPr>
          <w:rFonts w:cs="Arial"/>
          <w:sz w:val="28"/>
          <w:szCs w:val="28"/>
          <w:lang w:val="es-ES"/>
        </w:rPr>
        <w:t>Ministro Presidente</w:t>
      </w:r>
      <w:proofErr w:type="gramEnd"/>
      <w:r w:rsidRPr="00BD02B4">
        <w:rPr>
          <w:rFonts w:cs="Arial"/>
          <w:sz w:val="28"/>
          <w:szCs w:val="28"/>
          <w:lang w:val="es-ES"/>
        </w:rPr>
        <w:t xml:space="preserve"> en Funciones y Ponente de la Primera Sala con el </w:t>
      </w:r>
      <w:proofErr w:type="gramStart"/>
      <w:r w:rsidRPr="00BD02B4">
        <w:rPr>
          <w:rFonts w:cs="Arial"/>
          <w:sz w:val="28"/>
          <w:szCs w:val="28"/>
          <w:lang w:val="es-ES"/>
        </w:rPr>
        <w:t>Secretario</w:t>
      </w:r>
      <w:proofErr w:type="gramEnd"/>
      <w:r w:rsidRPr="00BD02B4">
        <w:rPr>
          <w:rFonts w:cs="Arial"/>
          <w:sz w:val="28"/>
          <w:szCs w:val="28"/>
          <w:lang w:val="es-ES"/>
        </w:rPr>
        <w:t xml:space="preserve"> de Acuerdos que autoriza y da fe.</w:t>
      </w:r>
    </w:p>
    <w:p w14:paraId="29C2B8A1" w14:textId="77777777" w:rsidR="004E01F2" w:rsidRPr="00BD02B4" w:rsidRDefault="004E01F2" w:rsidP="0050626B">
      <w:pPr>
        <w:spacing w:line="360" w:lineRule="auto"/>
        <w:rPr>
          <w:rFonts w:ascii="Arial" w:hAnsi="Arial" w:cs="Arial"/>
          <w:sz w:val="28"/>
          <w:szCs w:val="28"/>
          <w:lang w:val="es-ES"/>
        </w:rPr>
      </w:pPr>
    </w:p>
    <w:p w14:paraId="4FEEBE6B" w14:textId="43B68B7E" w:rsidR="0050626B" w:rsidRPr="00BD02B4" w:rsidRDefault="0050626B" w:rsidP="006C09FD">
      <w:pPr>
        <w:ind w:right="51"/>
        <w:contextualSpacing/>
        <w:jc w:val="center"/>
        <w:rPr>
          <w:rFonts w:ascii="Arial" w:hAnsi="Arial" w:cs="Arial"/>
          <w:b/>
          <w:bCs/>
          <w:sz w:val="28"/>
          <w:szCs w:val="28"/>
        </w:rPr>
      </w:pPr>
      <w:r w:rsidRPr="00BD02B4">
        <w:rPr>
          <w:rFonts w:ascii="Arial" w:hAnsi="Arial" w:cs="Arial"/>
          <w:b/>
          <w:bCs/>
          <w:sz w:val="28"/>
          <w:szCs w:val="28"/>
        </w:rPr>
        <w:t>PRESIDENTE EN FUNCIONES Y PONENTE</w:t>
      </w:r>
    </w:p>
    <w:p w14:paraId="3C94AEDD" w14:textId="1E059035" w:rsidR="00764FAB" w:rsidRPr="00BD02B4" w:rsidRDefault="00764FAB" w:rsidP="00DA2B22">
      <w:pPr>
        <w:ind w:right="51"/>
        <w:contextualSpacing/>
        <w:jc w:val="center"/>
        <w:rPr>
          <w:rFonts w:ascii="Arial" w:hAnsi="Arial" w:cs="Arial"/>
          <w:b/>
          <w:bCs/>
          <w:sz w:val="28"/>
          <w:szCs w:val="28"/>
        </w:rPr>
      </w:pPr>
    </w:p>
    <w:p w14:paraId="5679F63A" w14:textId="77777777" w:rsidR="006C09FD" w:rsidRPr="00BD02B4" w:rsidRDefault="006C09FD" w:rsidP="00DA2B22">
      <w:pPr>
        <w:ind w:right="51"/>
        <w:contextualSpacing/>
        <w:jc w:val="center"/>
        <w:rPr>
          <w:rFonts w:ascii="Arial" w:hAnsi="Arial" w:cs="Arial"/>
          <w:b/>
          <w:bCs/>
          <w:sz w:val="28"/>
          <w:szCs w:val="28"/>
        </w:rPr>
      </w:pPr>
    </w:p>
    <w:p w14:paraId="743799C3" w14:textId="77777777" w:rsidR="00764FAB" w:rsidRPr="00BD02B4" w:rsidRDefault="00764FAB" w:rsidP="00DA2B22">
      <w:pPr>
        <w:ind w:right="51"/>
        <w:contextualSpacing/>
        <w:jc w:val="center"/>
        <w:rPr>
          <w:rFonts w:ascii="Arial" w:hAnsi="Arial" w:cs="Arial"/>
          <w:b/>
          <w:bCs/>
          <w:sz w:val="28"/>
          <w:szCs w:val="28"/>
        </w:rPr>
      </w:pPr>
    </w:p>
    <w:p w14:paraId="150BF9A6" w14:textId="77777777"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MINISTRO JORGE MARIO PARDO REBOLLEDO</w:t>
      </w:r>
    </w:p>
    <w:p w14:paraId="07750291" w14:textId="3060E085" w:rsidR="0050626B" w:rsidRPr="00BD02B4" w:rsidRDefault="0050626B" w:rsidP="00DA2B22">
      <w:pPr>
        <w:ind w:right="51"/>
        <w:contextualSpacing/>
        <w:jc w:val="center"/>
        <w:rPr>
          <w:rFonts w:ascii="Arial" w:hAnsi="Arial" w:cs="Arial"/>
          <w:b/>
          <w:bCs/>
          <w:sz w:val="28"/>
          <w:szCs w:val="28"/>
        </w:rPr>
      </w:pPr>
    </w:p>
    <w:p w14:paraId="77148132" w14:textId="52CEEB5A" w:rsidR="00764FAB" w:rsidRPr="00BD02B4" w:rsidRDefault="00764FAB" w:rsidP="00DA2B22">
      <w:pPr>
        <w:ind w:right="51"/>
        <w:contextualSpacing/>
        <w:jc w:val="center"/>
        <w:rPr>
          <w:rFonts w:ascii="Arial" w:hAnsi="Arial" w:cs="Arial"/>
          <w:b/>
          <w:bCs/>
          <w:sz w:val="28"/>
          <w:szCs w:val="28"/>
        </w:rPr>
      </w:pPr>
    </w:p>
    <w:p w14:paraId="6727C857" w14:textId="77777777" w:rsidR="00DA2B22" w:rsidRPr="00BD02B4" w:rsidRDefault="00DA2B22" w:rsidP="00DA2B22">
      <w:pPr>
        <w:ind w:right="51"/>
        <w:contextualSpacing/>
        <w:jc w:val="center"/>
        <w:rPr>
          <w:rFonts w:ascii="Arial" w:hAnsi="Arial" w:cs="Arial"/>
          <w:b/>
          <w:bCs/>
          <w:sz w:val="28"/>
          <w:szCs w:val="28"/>
        </w:rPr>
      </w:pPr>
    </w:p>
    <w:p w14:paraId="2EF01D10" w14:textId="44508348"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SECRETARIO DE ACUERDOS DE LA PRIMERA SALA</w:t>
      </w:r>
    </w:p>
    <w:p w14:paraId="4C97C4FB" w14:textId="68AD51D9" w:rsidR="0050626B" w:rsidRPr="00BD02B4" w:rsidRDefault="0050626B" w:rsidP="00DA2B22">
      <w:pPr>
        <w:ind w:right="51"/>
        <w:contextualSpacing/>
        <w:jc w:val="center"/>
        <w:rPr>
          <w:rFonts w:ascii="Arial" w:hAnsi="Arial" w:cs="Arial"/>
          <w:b/>
          <w:bCs/>
          <w:sz w:val="28"/>
          <w:szCs w:val="28"/>
        </w:rPr>
      </w:pPr>
    </w:p>
    <w:p w14:paraId="5C29E73E" w14:textId="4E992790" w:rsidR="00764FAB" w:rsidRPr="00BD02B4" w:rsidRDefault="00764FAB" w:rsidP="00DA2B22">
      <w:pPr>
        <w:ind w:right="51"/>
        <w:contextualSpacing/>
        <w:jc w:val="center"/>
        <w:rPr>
          <w:rFonts w:ascii="Arial" w:hAnsi="Arial" w:cs="Arial"/>
          <w:b/>
          <w:bCs/>
          <w:sz w:val="28"/>
          <w:szCs w:val="28"/>
        </w:rPr>
      </w:pPr>
    </w:p>
    <w:p w14:paraId="648FAAAF" w14:textId="77777777" w:rsidR="00764FAB" w:rsidRPr="00BD02B4" w:rsidRDefault="00764FAB" w:rsidP="00DA2B22">
      <w:pPr>
        <w:ind w:right="51"/>
        <w:contextualSpacing/>
        <w:jc w:val="center"/>
        <w:rPr>
          <w:rFonts w:ascii="Arial" w:hAnsi="Arial" w:cs="Arial"/>
          <w:b/>
          <w:bCs/>
          <w:sz w:val="28"/>
          <w:szCs w:val="28"/>
        </w:rPr>
      </w:pPr>
    </w:p>
    <w:p w14:paraId="756CA6AD" w14:textId="77777777" w:rsidR="0050626B" w:rsidRPr="00BD02B4" w:rsidRDefault="0050626B" w:rsidP="00DA2B22">
      <w:pPr>
        <w:ind w:right="51"/>
        <w:contextualSpacing/>
        <w:jc w:val="center"/>
        <w:rPr>
          <w:rFonts w:ascii="Arial" w:hAnsi="Arial" w:cs="Arial"/>
          <w:sz w:val="28"/>
          <w:szCs w:val="28"/>
        </w:rPr>
      </w:pPr>
      <w:r w:rsidRPr="00BD02B4">
        <w:rPr>
          <w:rFonts w:ascii="Arial" w:hAnsi="Arial" w:cs="Arial"/>
          <w:b/>
          <w:bCs/>
          <w:sz w:val="28"/>
          <w:szCs w:val="28"/>
        </w:rPr>
        <w:t>MTRO. RAÚL MENDIOLA PIZAÑA</w:t>
      </w:r>
    </w:p>
    <w:p w14:paraId="2346B6A1" w14:textId="40AB36F8" w:rsidR="0050626B" w:rsidRPr="00BD02B4" w:rsidRDefault="0050626B" w:rsidP="00004076">
      <w:pPr>
        <w:spacing w:line="360" w:lineRule="auto"/>
        <w:ind w:right="-232" w:firstLine="708"/>
        <w:jc w:val="both"/>
        <w:rPr>
          <w:rFonts w:ascii="Arial" w:hAnsi="Arial" w:cs="Arial"/>
          <w:sz w:val="28"/>
          <w:szCs w:val="28"/>
        </w:rPr>
      </w:pPr>
    </w:p>
    <w:p w14:paraId="702E4350" w14:textId="77777777" w:rsidR="00000B91" w:rsidRPr="00A61B35" w:rsidRDefault="00000B91" w:rsidP="00000B91">
      <w:pPr>
        <w:pStyle w:val="TEXTONORMAL"/>
        <w:spacing w:line="240" w:lineRule="auto"/>
        <w:ind w:right="-142"/>
        <w:rPr>
          <w:b/>
          <w:i/>
          <w:iCs/>
        </w:rPr>
      </w:pPr>
      <w:r w:rsidRPr="001976B7">
        <w:rPr>
          <w:iCs/>
          <w:sz w:val="18"/>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03689EDD" w14:textId="77777777" w:rsidR="00E17761" w:rsidRPr="00C80682" w:rsidRDefault="00E17761" w:rsidP="00004076">
      <w:pPr>
        <w:spacing w:line="360" w:lineRule="auto"/>
        <w:ind w:right="-232" w:firstLine="708"/>
        <w:jc w:val="both"/>
        <w:rPr>
          <w:rFonts w:ascii="Arial" w:hAnsi="Arial" w:cs="Arial"/>
          <w:sz w:val="28"/>
          <w:szCs w:val="28"/>
        </w:rPr>
      </w:pPr>
    </w:p>
    <w:sectPr w:rsidR="00E17761" w:rsidRPr="00C80682" w:rsidSect="00FB2BB1">
      <w:headerReference w:type="even" r:id="rId15"/>
      <w:headerReference w:type="default" r:id="rId16"/>
      <w:footerReference w:type="even" r:id="rId17"/>
      <w:footerReference w:type="default" r:id="rId18"/>
      <w:pgSz w:w="12242" w:h="20163" w:code="5"/>
      <w:pgMar w:top="1702" w:right="1701" w:bottom="2268" w:left="1701" w:header="1134"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22DE" w14:textId="77777777" w:rsidR="007B2280" w:rsidRDefault="007B2280" w:rsidP="000724C8">
      <w:r>
        <w:separator/>
      </w:r>
    </w:p>
  </w:endnote>
  <w:endnote w:type="continuationSeparator" w:id="0">
    <w:p w14:paraId="5F8E5B2E" w14:textId="77777777" w:rsidR="007B2280" w:rsidRDefault="007B2280" w:rsidP="000724C8">
      <w:r>
        <w:continuationSeparator/>
      </w:r>
    </w:p>
  </w:endnote>
  <w:endnote w:type="continuationNotice" w:id="1">
    <w:p w14:paraId="68A0DBEA" w14:textId="77777777" w:rsidR="007B2280" w:rsidRDefault="007B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8FD8" w14:textId="77777777" w:rsidR="000724C8" w:rsidRPr="00813655" w:rsidRDefault="000724C8" w:rsidP="000A1DBB">
    <w:pPr>
      <w:pStyle w:val="Piedepgina"/>
      <w:framePr w:wrap="around" w:vAnchor="text" w:hAnchor="margin" w:xAlign="outside" w:y="1"/>
      <w:jc w:val="both"/>
      <w:rPr>
        <w:rStyle w:val="Nmerodepgina"/>
        <w:rFonts w:ascii="Arial" w:hAnsi="Arial" w:cs="Arial"/>
        <w:sz w:val="24"/>
        <w:szCs w:val="24"/>
      </w:rPr>
    </w:pPr>
    <w:r w:rsidRPr="00813655">
      <w:rPr>
        <w:rStyle w:val="Nmerodepgina"/>
        <w:rFonts w:ascii="Arial" w:hAnsi="Arial" w:cs="Arial"/>
        <w:sz w:val="24"/>
        <w:szCs w:val="24"/>
      </w:rPr>
      <w:fldChar w:fldCharType="begin"/>
    </w:r>
    <w:r w:rsidRPr="00813655">
      <w:rPr>
        <w:rStyle w:val="Nmerodepgina"/>
        <w:rFonts w:ascii="Arial" w:hAnsi="Arial" w:cs="Arial"/>
        <w:sz w:val="24"/>
        <w:szCs w:val="24"/>
      </w:rPr>
      <w:instrText xml:space="preserve">PAGE  </w:instrText>
    </w:r>
    <w:r w:rsidRPr="00813655">
      <w:rPr>
        <w:rStyle w:val="Nmerodepgina"/>
        <w:rFonts w:ascii="Arial" w:hAnsi="Arial" w:cs="Arial"/>
        <w:sz w:val="24"/>
        <w:szCs w:val="24"/>
      </w:rPr>
      <w:fldChar w:fldCharType="separate"/>
    </w:r>
    <w:r>
      <w:rPr>
        <w:rStyle w:val="Nmerodepgina"/>
        <w:rFonts w:ascii="Arial" w:hAnsi="Arial" w:cs="Arial"/>
        <w:noProof/>
        <w:sz w:val="24"/>
        <w:szCs w:val="24"/>
      </w:rPr>
      <w:t>2</w:t>
    </w:r>
    <w:r w:rsidRPr="00813655">
      <w:rPr>
        <w:rStyle w:val="Nmerodepgina"/>
        <w:rFonts w:ascii="Arial" w:hAnsi="Arial" w:cs="Arial"/>
        <w:sz w:val="24"/>
        <w:szCs w:val="24"/>
      </w:rPr>
      <w:fldChar w:fldCharType="end"/>
    </w:r>
  </w:p>
  <w:p w14:paraId="1E786D7B" w14:textId="77777777" w:rsidR="001E2770" w:rsidRDefault="001E2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562147335"/>
      <w:docPartObj>
        <w:docPartGallery w:val="Page Numbers (Bottom of Page)"/>
        <w:docPartUnique/>
      </w:docPartObj>
    </w:sdtPr>
    <w:sdtContent>
      <w:p w14:paraId="0E2C3AEE" w14:textId="40EA13CA" w:rsidR="002472D7" w:rsidRPr="008B550F" w:rsidRDefault="000724C8" w:rsidP="004D4570">
        <w:pPr>
          <w:pStyle w:val="Piedepgina"/>
          <w:jc w:val="right"/>
          <w:rPr>
            <w:rFonts w:ascii="Arial" w:hAnsi="Arial" w:cs="Arial"/>
            <w:sz w:val="24"/>
            <w:szCs w:val="24"/>
          </w:rPr>
        </w:pPr>
        <w:r w:rsidRPr="0076242D">
          <w:rPr>
            <w:rFonts w:ascii="Arial" w:hAnsi="Arial" w:cs="Arial"/>
            <w:sz w:val="24"/>
            <w:szCs w:val="24"/>
          </w:rPr>
          <w:fldChar w:fldCharType="begin"/>
        </w:r>
        <w:r w:rsidRPr="0076242D">
          <w:rPr>
            <w:rFonts w:ascii="Arial" w:hAnsi="Arial" w:cs="Arial"/>
            <w:sz w:val="24"/>
            <w:szCs w:val="24"/>
          </w:rPr>
          <w:instrText>PAGE   \* MERGEFORMAT</w:instrText>
        </w:r>
        <w:r w:rsidRPr="0076242D">
          <w:rPr>
            <w:rFonts w:ascii="Arial" w:hAnsi="Arial" w:cs="Arial"/>
            <w:sz w:val="24"/>
            <w:szCs w:val="24"/>
          </w:rPr>
          <w:fldChar w:fldCharType="separate"/>
        </w:r>
        <w:r w:rsidRPr="0076242D">
          <w:rPr>
            <w:rFonts w:ascii="Arial" w:hAnsi="Arial" w:cs="Arial"/>
            <w:sz w:val="24"/>
            <w:szCs w:val="24"/>
            <w:lang w:val="es-ES"/>
          </w:rPr>
          <w:t>2</w:t>
        </w:r>
        <w:r w:rsidRPr="0076242D">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3372" w14:textId="77777777" w:rsidR="007B2280" w:rsidRDefault="007B2280" w:rsidP="000724C8">
      <w:r>
        <w:separator/>
      </w:r>
    </w:p>
  </w:footnote>
  <w:footnote w:type="continuationSeparator" w:id="0">
    <w:p w14:paraId="11EB2198" w14:textId="77777777" w:rsidR="007B2280" w:rsidRDefault="007B2280" w:rsidP="000724C8">
      <w:r>
        <w:continuationSeparator/>
      </w:r>
    </w:p>
  </w:footnote>
  <w:footnote w:type="continuationNotice" w:id="1">
    <w:p w14:paraId="0249230A" w14:textId="77777777" w:rsidR="007B2280" w:rsidRDefault="007B2280"/>
  </w:footnote>
  <w:footnote w:id="2">
    <w:p w14:paraId="283739FF" w14:textId="19A0A912" w:rsidR="000724C8" w:rsidRPr="005D5D6D" w:rsidRDefault="000724C8" w:rsidP="00093037">
      <w:pPr>
        <w:pStyle w:val="Textonotapie"/>
        <w:ind w:right="-232"/>
        <w:jc w:val="both"/>
        <w:rPr>
          <w:rFonts w:ascii="Arial" w:hAnsi="Arial" w:cs="Arial"/>
          <w:b/>
          <w:bCs/>
          <w:sz w:val="18"/>
          <w:szCs w:val="18"/>
        </w:rPr>
      </w:pPr>
      <w:r w:rsidRPr="0007786E">
        <w:rPr>
          <w:rStyle w:val="Refdenotaalpie"/>
          <w:rFonts w:ascii="Arial" w:hAnsi="Arial" w:cs="Arial"/>
          <w:sz w:val="18"/>
          <w:szCs w:val="18"/>
        </w:rPr>
        <w:footnoteRef/>
      </w:r>
      <w:r w:rsidRPr="0007786E">
        <w:rPr>
          <w:rFonts w:ascii="Arial" w:hAnsi="Arial" w:cs="Arial"/>
          <w:sz w:val="18"/>
          <w:szCs w:val="18"/>
        </w:rPr>
        <w:t xml:space="preserve"> ACCIÓN 4 </w:t>
      </w:r>
      <w:r w:rsidRPr="0007786E">
        <w:rPr>
          <w:rFonts w:ascii="Arial" w:hAnsi="Arial" w:cs="Arial"/>
          <w:b/>
          <w:bCs/>
          <w:sz w:val="18"/>
          <w:szCs w:val="18"/>
        </w:rPr>
        <w:t>Limitar la erosión de la base imponible por vía de deducciones en el interés y otros pagos financieros</w:t>
      </w:r>
      <w:r w:rsidR="00093037">
        <w:rPr>
          <w:rFonts w:ascii="Arial" w:hAnsi="Arial" w:cs="Arial"/>
          <w:b/>
          <w:bCs/>
          <w:sz w:val="18"/>
          <w:szCs w:val="18"/>
        </w:rPr>
        <w:t>.</w:t>
      </w:r>
    </w:p>
    <w:p w14:paraId="69B8B4C4" w14:textId="77777777" w:rsidR="000724C8" w:rsidRPr="00ED2203" w:rsidRDefault="000724C8" w:rsidP="00B3661E">
      <w:pPr>
        <w:pStyle w:val="Textonotapie"/>
        <w:ind w:right="-232"/>
        <w:jc w:val="both"/>
        <w:rPr>
          <w:rFonts w:ascii="Arial" w:hAnsi="Arial" w:cs="Arial"/>
          <w:i/>
          <w:iCs/>
          <w:sz w:val="18"/>
          <w:szCs w:val="18"/>
        </w:rPr>
      </w:pPr>
      <w:r w:rsidRPr="00ED2203">
        <w:rPr>
          <w:rFonts w:ascii="Arial" w:hAnsi="Arial" w:cs="Arial"/>
          <w:i/>
          <w:iCs/>
          <w:sz w:val="18"/>
          <w:szCs w:val="18"/>
        </w:rPr>
        <w:t xml:space="preserve">Desarrollar recomendaciones sobre las mejores prácticas en el diseño de normas para evitar la erosión de la base imponible a través de la utilización de deducciones por intereses, por ejemplo, mediante el uso de deuda entre entidades vinculadas y con terceros para lograr la deducción excesiva de intereses o para financiar la producción de ingresos exentos o diferidos y otros ingresos financieros que son económicamente equivalentes a los pagos de intereses. El trabajo evaluará la eficacia de los diferentes tipos de limitaciones. En conexión con la labor anterior y en su apoyo, se establecerán también orientaciones sobre precios de transferencia con respecto a la fijación de precios de las transacciones financieras vinculadas, incluyendo las garantías financieras y el rendimiento, los derivados (incluidos los derivados internos utilizados en las relaciones intra-bancarias), y seguros cautivos y otras clases de seguro. El trabajo se coordinará con el trabajo sobre híbridos y reglas CFC. </w:t>
      </w:r>
    </w:p>
    <w:p w14:paraId="6DFBB355" w14:textId="77777777" w:rsidR="000724C8" w:rsidRPr="006B1833" w:rsidRDefault="000724C8" w:rsidP="000724C8">
      <w:pPr>
        <w:pStyle w:val="Textonotapie"/>
        <w:jc w:val="both"/>
        <w:rPr>
          <w:rFonts w:ascii="Arial" w:hAnsi="Arial" w:cs="Arial"/>
          <w:sz w:val="18"/>
          <w:szCs w:val="18"/>
        </w:rPr>
      </w:pPr>
      <w:r w:rsidRPr="006B1833">
        <w:rPr>
          <w:rFonts w:ascii="Arial" w:hAnsi="Arial" w:cs="Arial"/>
          <w:i/>
          <w:iCs/>
          <w:sz w:val="18"/>
          <w:szCs w:val="18"/>
        </w:rPr>
        <w:t>[…]”</w:t>
      </w:r>
    </w:p>
  </w:footnote>
  <w:footnote w:id="3">
    <w:p w14:paraId="6C1BAA3B" w14:textId="77777777" w:rsidR="000724C8" w:rsidRDefault="000724C8" w:rsidP="000724C8">
      <w:pPr>
        <w:pStyle w:val="Textonotapie"/>
        <w:jc w:val="both"/>
        <w:rPr>
          <w:rFonts w:ascii="Arial" w:hAnsi="Arial" w:cs="Arial"/>
          <w:i/>
          <w:iCs/>
        </w:rPr>
      </w:pPr>
      <w:r>
        <w:rPr>
          <w:rStyle w:val="Refdenotaalpie"/>
        </w:rPr>
        <w:footnoteRef/>
      </w:r>
      <w:r>
        <w:t xml:space="preserve"> </w:t>
      </w:r>
      <w:r w:rsidRPr="00E105E1">
        <w:rPr>
          <w:rFonts w:ascii="Arial" w:hAnsi="Arial" w:cs="Arial"/>
          <w:i/>
          <w:iCs/>
        </w:rPr>
        <w:t>“</w:t>
      </w:r>
      <w:r w:rsidRPr="00E105E1">
        <w:rPr>
          <w:rFonts w:ascii="Arial" w:hAnsi="Arial" w:cs="Arial"/>
          <w:b/>
          <w:bCs/>
          <w:i/>
          <w:iCs/>
        </w:rPr>
        <w:t>6. Limitación a la deducción de intereses.</w:t>
      </w:r>
      <w:r w:rsidRPr="00E105E1">
        <w:rPr>
          <w:rFonts w:ascii="Arial" w:hAnsi="Arial" w:cs="Arial"/>
          <w:i/>
          <w:iCs/>
        </w:rPr>
        <w:t xml:space="preserve"> </w:t>
      </w:r>
    </w:p>
    <w:p w14:paraId="7C5E7811"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El Reporte Final de la Acción 4 del Proyecto BEPS señala que una de las técnicas más sencillas para trasladar utilidades como parte una planeación fiscal internacional, es el pago de intereses entre partes relacionadas e independientes.1 También señala que la diferencia en el tratamiento fiscal entre capital y deuda, genera un mayor atractivo para utilizar deuda.2 Adicionalmente, el Reporte establece que, con base en una serie de estudios académicos, se ha demostrado que los grupos multinacionales endeudan más a sus subsidiarias que se encuentran ubicadas en países de alta imposición.3 Este traslado de deuda impacta a los países desarrollados y en vías de desarrollo, estos últimos inclusive con un mayor riesgo.</w:t>
      </w:r>
    </w:p>
    <w:p w14:paraId="4F310DE6"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reconoce que la mayoría de los países y jurisdicciones utilizan reglas de capitalización delgada para limitar la deducción de intereses, pero considera que una regla de este tipo es más efectiva para combatir la erosión de la base imponible y traslado de utilidades, si se calcula considerando los ingresos del contribuyente.5 Por esta razón, recomienda a los países introducir una regla que limite la deducción de intereses con base en las utilidades fiscales antes de intereses, depreciaciones y amortizaciones. La limitación estaría basada en una ratio fija. Los países y jurisdicciones participantes en el proyecto BEPS consideraron que un buen rango para determinar la ratio es entre un 10%-30%, como quedó reflejado en el citado Reporte Final. La propuesta presentada a esa Soberanía considera una ratio del 30%.</w:t>
      </w:r>
    </w:p>
    <w:p w14:paraId="27EF15C9"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también señala que este tipo de disposiciones deben aplicar como mínimo a personas morales que formen parte de un grupo multinacional, pero también puede aplicar a personas morales que formen parte de un grupo nacional o aquéllas que no formen parte de un grupo empresarial.6 La disposición que se propone a esa Soberanía, aplicaría a todo tipo de personas morales, aunque se considera una regla de minimis aplicable igualmente a todos estos contribuyentes. Asimismo, dicha disposición aplicaría a pagos realizados a terceros, partes relacionadas y miembros de un mismo grupo, como lo recomienda dicho Reporte.</w:t>
      </w:r>
    </w:p>
    <w:p w14:paraId="1A2382B5"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 xml:space="preserve">Otra recomendación importante en este Reporte </w:t>
      </w:r>
      <w:r w:rsidRPr="00E105E1">
        <w:rPr>
          <w:rFonts w:ascii="Arial" w:hAnsi="Arial" w:cs="Arial"/>
          <w:i/>
          <w:iCs/>
        </w:rPr>
        <w:t>Final, es que esta regla debe limitar la deducción de intereses netos y no brutos, para evitar un problema de doble imposición. En virtud de que dicho concepto es inexistente para efectos de nuestra legislación nacional, la propuesta incluye una definición de intereses netos para efectos de calcular el monto no deducible. Por lo anterior, se utilizará la siguiente fórmula para determinar el monto no deducible por el pago de intereses:</w:t>
      </w:r>
    </w:p>
    <w:p w14:paraId="5F5A268E" w14:textId="77777777" w:rsidR="000724C8" w:rsidRPr="00930ED2" w:rsidRDefault="000724C8" w:rsidP="00AC62A8">
      <w:pPr>
        <w:pStyle w:val="Textonotapie"/>
        <w:ind w:right="-232"/>
        <w:jc w:val="center"/>
        <w:rPr>
          <w:rFonts w:ascii="Arial" w:hAnsi="Arial" w:cs="Arial"/>
          <w:b/>
          <w:bCs/>
          <w:i/>
          <w:iCs/>
        </w:rPr>
      </w:pPr>
      <w:r w:rsidRPr="00930ED2">
        <w:rPr>
          <w:rFonts w:ascii="Arial" w:hAnsi="Arial" w:cs="Arial"/>
          <w:b/>
          <w:bCs/>
          <w:i/>
          <w:iCs/>
        </w:rPr>
        <w:t>UTILIDAD FISCAL AJUSTADA X 30% = LÍMITE DE LA DEDUCCIÓN DE INTERESES NETOS</w:t>
      </w:r>
    </w:p>
    <w:p w14:paraId="2085F665"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monto resultante de este cálculo tendrá que ser disminuido del monto de los intereses netos para efectos de determinar la cantidad no deducible. Adicionalmente, la propuesta incluye una regla que permite deducir en los tres ejercicios siguientes, el monto no deducible durante el ejercicio. </w:t>
      </w:r>
    </w:p>
    <w:p w14:paraId="4E4A4E3E"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citado Reporte establece como una alternativa, que los países puedan aplicar dichas reglas a deudas contratadas previo al ejercicio fiscal en que entra en vigor esta disposición al no ser necesario contar con una regla transitoria para regular este tipo de situaciones. Por consiguiente, se consideró que esta disposición sea aplicable a intereses deducibles a partir del ejercicio fiscal 2020, independientemente de que provengan de deudas contratadas en años anteriores. En este sentido, se consideró que dicha política fiscal no es contraria al sistema jurídico mexicano porque quienes tienen deudas contratadas previo a la entrada en vigor de esta disposición tienen una expectativa de derecho. Adicionalmente, aplicar esta disposición a deudas contratadas a partir de su entrada en vigor, permitiría planeaciones fiscales que consistirían principalmente en la contratación de deudas antes de la entrada en vigor de dicha regla. Asimismo, generarían un trato desigual frente a los contribuyentes que contratarán deudas posteriores a la entrada en vigor de esta disposición. </w:t>
      </w:r>
    </w:p>
    <w:p w14:paraId="13A87A4A" w14:textId="77777777" w:rsidR="000724C8" w:rsidRPr="00D712E0" w:rsidRDefault="000724C8" w:rsidP="00AC62A8">
      <w:pPr>
        <w:pStyle w:val="Textonotapie"/>
        <w:ind w:right="-232"/>
        <w:jc w:val="both"/>
      </w:pPr>
      <w:r w:rsidRPr="00E105E1">
        <w:rPr>
          <w:rFonts w:ascii="Arial" w:hAnsi="Arial" w:cs="Arial"/>
          <w:i/>
          <w:iCs/>
        </w:rPr>
        <w:t>Por otra parte, se propone a esa Soberanía excluir de esta regla a las deudas contratadas para financiar obras de infraestructura pública porque se ha considerado el alto endeudamiento que suelen necesitar obras de esta índole.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 Adicionalmente, se otorga una facultad al Servicio de Administración Tributaria (SAT) para efectos de regular los supuestos en los cuales el contribuyente no tenga una utilidad neta ajustada de conformidad con la regla que se propone ya que dicha regla no sería aplicable en ese ejercicio fiscal y la deducción de intereses no estaría limitada, lo que impactaría las posibles pérdidas fiscales futuras por amortizar. En este sentido, esto evitaría que los contribuyentes puedan realizar planeaciones fiscales agresivas para efectos de no cumplir con esta disposición.</w:t>
      </w:r>
    </w:p>
  </w:footnote>
  <w:footnote w:id="4">
    <w:p w14:paraId="07A0B386"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sz w:val="28"/>
          <w:szCs w:val="28"/>
          <w:lang w:val="es-ES_tradnl"/>
        </w:rPr>
        <w:t xml:space="preserve"> </w:t>
      </w:r>
      <w:r w:rsidRPr="00497E28">
        <w:rPr>
          <w:rFonts w:ascii="Arial" w:hAnsi="Arial" w:cs="Arial"/>
          <w:lang w:val="es-ES_tradnl"/>
        </w:rPr>
        <w:t>Época: Novena Época. Registro: 165438. Instancia: Pleno. Tipo de Tesis: Jurisprudencia. Fuente: Semanario Judicial de la Federación y su Gaceta. Tomo XXXI. Enero de 2010. Materia(s): Constitucional, Administrativa. Tesis: P./J. 136/2009. Página: 21.</w:t>
      </w:r>
      <w:r w:rsidRPr="00497E28">
        <w:rPr>
          <w:rFonts w:ascii="Arial" w:hAnsi="Arial" w:cs="Arial"/>
          <w:sz w:val="28"/>
          <w:szCs w:val="28"/>
          <w:lang w:val="es-ES_tradnl"/>
        </w:rPr>
        <w:t xml:space="preserve"> </w:t>
      </w:r>
    </w:p>
  </w:footnote>
  <w:footnote w:id="5">
    <w:p w14:paraId="3B13BD9F"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lang w:val="es-ES_tradnl"/>
        </w:rPr>
        <w:t>Época: Novena Época. Registro: 179277. Instancia: Pleno. Tipo de Tesis: Aislada. Fuente: Semanario Judicial de la Federación y su Gaceta. Tomo XXI. Febrero de 2005. Materia(s): Común. Tesis: P. III/2005. Página: 98.</w:t>
      </w:r>
    </w:p>
  </w:footnote>
  <w:footnote w:id="6">
    <w:p w14:paraId="76AFAEE7" w14:textId="7D920A80" w:rsidR="00FF6B18" w:rsidRPr="00D35F52" w:rsidRDefault="00FF6B18" w:rsidP="00D35F52">
      <w:pPr>
        <w:pStyle w:val="Textonotapie"/>
        <w:ind w:right="-232"/>
        <w:jc w:val="both"/>
        <w:rPr>
          <w:rFonts w:ascii="Arial" w:hAnsi="Arial" w:cs="Arial"/>
        </w:rPr>
      </w:pPr>
      <w:r w:rsidRPr="00D35F52">
        <w:rPr>
          <w:rStyle w:val="Refdenotaalpie"/>
          <w:rFonts w:ascii="Arial" w:hAnsi="Arial" w:cs="Arial"/>
        </w:rPr>
        <w:footnoteRef/>
      </w:r>
      <w:r w:rsidRPr="00D35F52">
        <w:rPr>
          <w:rFonts w:ascii="Arial" w:hAnsi="Arial" w:cs="Arial"/>
        </w:rPr>
        <w:t xml:space="preserve"> </w:t>
      </w:r>
      <w:r w:rsidR="00341D3B" w:rsidRPr="00341D3B">
        <w:rPr>
          <w:rFonts w:ascii="Arial" w:hAnsi="Arial" w:cs="Arial"/>
        </w:rPr>
        <w:t>2a./J. 148/2016 (10a.)</w:t>
      </w:r>
      <w:r w:rsidR="00341D3B">
        <w:rPr>
          <w:rFonts w:ascii="Arial" w:hAnsi="Arial" w:cs="Arial"/>
        </w:rPr>
        <w:t xml:space="preserve">, </w:t>
      </w:r>
      <w:r w:rsidR="00D35F52" w:rsidRPr="00D35F52">
        <w:rPr>
          <w:rFonts w:ascii="Arial" w:hAnsi="Arial" w:cs="Arial"/>
        </w:rPr>
        <w:t>Segunda Sala</w:t>
      </w:r>
      <w:r w:rsidR="00341D3B">
        <w:rPr>
          <w:rFonts w:ascii="Arial" w:hAnsi="Arial" w:cs="Arial"/>
        </w:rPr>
        <w:t xml:space="preserve">, </w:t>
      </w:r>
      <w:r w:rsidR="00D35F52" w:rsidRPr="00D35F52">
        <w:rPr>
          <w:rFonts w:ascii="Arial" w:hAnsi="Arial" w:cs="Arial"/>
        </w:rPr>
        <w:t>Décima Época</w:t>
      </w:r>
      <w:r w:rsidR="00341D3B">
        <w:rPr>
          <w:rFonts w:ascii="Arial" w:hAnsi="Arial" w:cs="Arial"/>
        </w:rPr>
        <w:t xml:space="preserve">, consultable en la </w:t>
      </w:r>
      <w:r w:rsidR="00D35F52" w:rsidRPr="00D35F52">
        <w:rPr>
          <w:rFonts w:ascii="Arial" w:hAnsi="Arial" w:cs="Arial"/>
        </w:rPr>
        <w:t>Gaceta del Semanario Judicial de la Federación. Libro 35, Octubre de 2016, Tomo I, página 699</w:t>
      </w:r>
      <w:r w:rsidR="00341D3B">
        <w:rPr>
          <w:rFonts w:ascii="Arial" w:hAnsi="Arial" w:cs="Arial"/>
        </w:rPr>
        <w:t xml:space="preserve"> de texto: </w:t>
      </w:r>
      <w:r w:rsidR="00D35F52">
        <w:rPr>
          <w:rFonts w:ascii="Arial" w:hAnsi="Arial" w:cs="Arial"/>
        </w:rPr>
        <w:t>“</w:t>
      </w:r>
      <w:r w:rsidR="00D35F52" w:rsidRPr="00D35F52">
        <w:rPr>
          <w:rFonts w:ascii="Arial" w:hAnsi="Arial" w:cs="Arial"/>
        </w:rPr>
        <w:t>Al establecer las reglas de estructura planteadas dentro del estándar de los formatos respectivos para cumplir con la obligación de llevar la contabilidad en medios electrónicos, la autoridad administrativa dispuso que el contribuyente que utilice dicho estándar deberá sujetarse tanto a las disposiciones fiscales vigentes, como a los lineamientos técnicos de forma y sintaxis para la generación de archivos XML especificados por el consorcio w3. Lo que significa que con dicha remisión la autoridad excedió los límites de la habilitación legal que le fue conferida a través del artículo 28 del Código Fiscal de la Federación, al encomendar al consorcio referido la labor de desarrollar las disposiciones correspondientes para hacer operativo el sistema; lo que además de la insubordinación jerárquica que esa actuación provoca, ocasiona inseguridad jurídica al gobernado, al obligarlo a cumplir con ciertos lineamientos emitidos "por una comunidad internacional" y no por una autoridad competente, bajo algún procedimiento de creación normativa o bajo determinadas exigencias mínimas de fundamentación y motivación. Máxime que, al establecer los lineamientos y formatos respectivos para cumplir con la obligación de llevar la contabilidad en medios electrónicos, tenía la obligación de hacerlo en idioma castellano o español, a fin de brindar seguridad jurídica a los contribuyentes al permitirles conocer plenamente la forma de operar los formatos establecidos al efecto, lo cual no se hizo, ya que al ingresar a la página de internet http://www.w3.org., se advierte que su contenido está en el idioma inglés; de ahí que el Anexo 24 de la Resolución Miscelánea Fiscal para 2015, viola los derechos a la legalidad y a la seguridad jurídica.</w:t>
      </w:r>
      <w:r w:rsidR="00D35F52">
        <w:rPr>
          <w:rFonts w:ascii="Arial" w:hAnsi="Arial" w:cs="Arial"/>
        </w:rPr>
        <w:t>”</w:t>
      </w:r>
    </w:p>
  </w:footnote>
  <w:footnote w:id="7">
    <w:p w14:paraId="3473D006" w14:textId="1A3225E7" w:rsidR="00DD3A67" w:rsidRPr="00DD3A67" w:rsidRDefault="00DD3A67" w:rsidP="00DD3A67">
      <w:pPr>
        <w:pStyle w:val="Textonotapie"/>
        <w:ind w:right="-232"/>
        <w:jc w:val="both"/>
        <w:rPr>
          <w:rFonts w:ascii="Arial" w:hAnsi="Arial" w:cs="Arial"/>
        </w:rPr>
      </w:pPr>
      <w:r w:rsidRPr="00DD3A67">
        <w:rPr>
          <w:rStyle w:val="Refdenotaalpie"/>
          <w:rFonts w:ascii="Arial" w:hAnsi="Arial" w:cs="Arial"/>
        </w:rPr>
        <w:footnoteRef/>
      </w:r>
      <w:r w:rsidRPr="00DD3A67">
        <w:rPr>
          <w:rFonts w:ascii="Arial" w:hAnsi="Arial" w:cs="Arial"/>
        </w:rPr>
        <w:t xml:space="preserve"> Jurisprudencia 1a./J. 139/2012 (10a.), Primera Sala, Décima Época, consultable en el Semanario Judicial de la Federación y su Gaceta. Libro XVI, </w:t>
      </w:r>
      <w:r w:rsidRPr="00DD3A67">
        <w:rPr>
          <w:rFonts w:ascii="Arial" w:hAnsi="Arial" w:cs="Arial"/>
        </w:rPr>
        <w:t xml:space="preserve">Enero de 2013, Tomo 1, página 437, de rubro y texto: </w:t>
      </w:r>
    </w:p>
    <w:p w14:paraId="1F62B192" w14:textId="4DA2A42B" w:rsidR="00DD3A67" w:rsidRPr="00DD3A67" w:rsidRDefault="00DD3A67" w:rsidP="00DD3A67">
      <w:pPr>
        <w:pStyle w:val="Textonotapie"/>
        <w:ind w:right="-232"/>
        <w:jc w:val="both"/>
        <w:rPr>
          <w:rFonts w:ascii="Arial" w:hAnsi="Arial" w:cs="Arial"/>
        </w:rPr>
      </w:pPr>
      <w:r w:rsidRPr="00DD3A67">
        <w:rPr>
          <w:rFonts w:ascii="Arial" w:hAnsi="Arial" w:cs="Arial"/>
        </w:rPr>
        <w:t>“</w:t>
      </w:r>
      <w:r w:rsidRPr="006E6101">
        <w:rPr>
          <w:rFonts w:ascii="Arial" w:hAnsi="Arial" w:cs="Arial"/>
          <w:b/>
          <w:bCs/>
        </w:rPr>
        <w:t>SEGURIDAD JURÍDICA EN MATERIA TRIBUTARIA. EN QUÉ CONSISTE</w:t>
      </w:r>
      <w:r w:rsidRPr="00DD3A67">
        <w:rPr>
          <w:rFonts w:ascii="Arial" w:hAnsi="Arial" w:cs="Arial"/>
        </w:rPr>
        <w:t>. La Primera Sala de la Suprema Corte de Justicia de la Nación ha sostenido que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footnote>
  <w:footnote w:id="8">
    <w:p w14:paraId="69A5B3CB" w14:textId="77777777" w:rsidR="00280ED1" w:rsidRPr="00F64EDD" w:rsidRDefault="00280ED1" w:rsidP="00144D07">
      <w:pPr>
        <w:pStyle w:val="Textonotapie"/>
        <w:ind w:right="-232"/>
        <w:jc w:val="both"/>
        <w:rPr>
          <w:rFonts w:ascii="Arial" w:hAnsi="Arial" w:cs="Arial"/>
        </w:rPr>
      </w:pPr>
      <w:r w:rsidRPr="00F64EDD">
        <w:rPr>
          <w:rStyle w:val="Refdenotaalpie"/>
          <w:rFonts w:ascii="Arial" w:hAnsi="Arial" w:cs="Arial"/>
        </w:rPr>
        <w:footnoteRef/>
      </w:r>
      <w:r w:rsidRPr="00F64EDD">
        <w:rPr>
          <w:rFonts w:ascii="Arial" w:hAnsi="Arial" w:cs="Arial"/>
        </w:rPr>
        <w:t xml:space="preserve"> Este aserto se apoya en los criterios P.CIV/2000 y 1a./J. 83/2004 de rubros </w:t>
      </w:r>
      <w:r w:rsidRPr="00F64EDD">
        <w:rPr>
          <w:rFonts w:ascii="Arial" w:hAnsi="Arial" w:cs="Arial"/>
          <w:b/>
        </w:rPr>
        <w:t>“</w:t>
      </w:r>
      <w:r w:rsidRPr="00F64EDD">
        <w:rPr>
          <w:rFonts w:ascii="Arial" w:hAnsi="Arial" w:cs="Arial"/>
          <w:b/>
          <w:bCs/>
        </w:rPr>
        <w:t>LEYES. SU INCONSTITUCIONALIDAD NO DEPENDE DE LOS VICIOS EN LA REDACCIÓN Y PRECISIÓN DE TÉRMINOS EN QUE EL LEGISLADOR ORDINARIO PUEDA INCURRIR”</w:t>
      </w:r>
      <w:r w:rsidRPr="00F64EDD">
        <w:rPr>
          <w:rFonts w:ascii="Arial" w:hAnsi="Arial" w:cs="Arial"/>
          <w:bCs/>
        </w:rPr>
        <w:t xml:space="preserve"> y </w:t>
      </w:r>
      <w:r w:rsidRPr="00F64EDD">
        <w:rPr>
          <w:rFonts w:ascii="Arial" w:hAnsi="Arial" w:cs="Arial"/>
          <w:b/>
          <w:bCs/>
        </w:rPr>
        <w:t>“LEYES. SU INCONSTITUCIONALIDAD NO PUEDE DERIVAR EXCLUSIVAMENTE DE LA FALTA DE DEFINICIÓN DE LOS VOCABLOS O LOCUCIONES UTILIZADOS POR EL LEGISLADOR”,</w:t>
      </w:r>
      <w:r w:rsidRPr="00F64EDD">
        <w:rPr>
          <w:rFonts w:ascii="Arial" w:hAnsi="Arial" w:cs="Arial"/>
          <w:bCs/>
        </w:rPr>
        <w:t xml:space="preserve"> respectivamente.</w:t>
      </w:r>
    </w:p>
  </w:footnote>
  <w:footnote w:id="9">
    <w:p w14:paraId="14EF51C2" w14:textId="77777777" w:rsidR="00280ED1" w:rsidRPr="00791BE9" w:rsidRDefault="00280ED1" w:rsidP="00144D07">
      <w:pPr>
        <w:pStyle w:val="Textonotapie"/>
        <w:ind w:right="-232"/>
        <w:jc w:val="both"/>
      </w:pPr>
      <w:r w:rsidRPr="00F64EDD">
        <w:rPr>
          <w:rStyle w:val="Refdenotaalpie"/>
          <w:rFonts w:ascii="Arial" w:hAnsi="Arial" w:cs="Arial"/>
        </w:rPr>
        <w:footnoteRef/>
      </w:r>
      <w:r w:rsidRPr="00F64EDD">
        <w:rPr>
          <w:rFonts w:ascii="Arial" w:hAnsi="Arial" w:cs="Arial"/>
        </w:rPr>
        <w:t xml:space="preserve"> Apoya esta afirmación la tesis 1a. LXXII/2004 </w:t>
      </w:r>
      <w:r w:rsidRPr="00F64EDD">
        <w:rPr>
          <w:rFonts w:ascii="Arial" w:hAnsi="Arial" w:cs="Arial"/>
          <w:b/>
        </w:rPr>
        <w:t>“</w:t>
      </w:r>
      <w:r w:rsidRPr="00F64EDD">
        <w:rPr>
          <w:rFonts w:ascii="Arial" w:hAnsi="Arial" w:cs="Arial"/>
          <w:b/>
          <w:bCs/>
        </w:rPr>
        <w:t>INTERPRETACIÓN DE LA LEY. SI SU TEXTO ES OSCURO O INCOMPLETO Y NO BASTA EL EXAMEN GRAMATICAL, EL JUZGADOR PODRÁ UTILIZAR EL MÉTODO QUE CONFORME A SU CRITERIO SEA EL MÁS ADECUADO PARA RESOLVER EL CASO CONCRETO”,</w:t>
      </w:r>
      <w:r w:rsidRPr="00F64EDD">
        <w:rPr>
          <w:rFonts w:ascii="Arial" w:hAnsi="Arial" w:cs="Arial"/>
          <w:bCs/>
        </w:rPr>
        <w:t xml:space="preserve"> de la Novena Época del Semanario Judicial de la Federación y su Gaceta, tomo XIX, junio de 2004, p. 234.</w:t>
      </w:r>
    </w:p>
  </w:footnote>
  <w:footnote w:id="10">
    <w:p w14:paraId="3C203F3E" w14:textId="77777777" w:rsidR="00280ED1" w:rsidRPr="00B77F25" w:rsidRDefault="00280ED1" w:rsidP="00825F02">
      <w:pPr>
        <w:pStyle w:val="corte4fondo"/>
        <w:spacing w:line="240" w:lineRule="auto"/>
        <w:ind w:right="-232" w:firstLine="0"/>
        <w:rPr>
          <w:sz w:val="20"/>
        </w:rPr>
      </w:pPr>
      <w:r w:rsidRPr="006079F3">
        <w:rPr>
          <w:rStyle w:val="Refdenotaalpie"/>
          <w:sz w:val="20"/>
        </w:rPr>
        <w:footnoteRef/>
      </w:r>
      <w:r w:rsidRPr="006079F3">
        <w:rPr>
          <w:sz w:val="20"/>
        </w:rPr>
        <w:t xml:space="preserve"> </w:t>
      </w:r>
      <w:r w:rsidRPr="00AE2736">
        <w:rPr>
          <w:sz w:val="20"/>
        </w:rPr>
        <w:t xml:space="preserve">Registro digital </w:t>
      </w:r>
      <w:r>
        <w:rPr>
          <w:sz w:val="20"/>
        </w:rPr>
        <w:t>174070.</w:t>
      </w:r>
      <w:r w:rsidRPr="00AE2736">
        <w:rPr>
          <w:sz w:val="20"/>
        </w:rPr>
        <w:t xml:space="preserve"> </w:t>
      </w:r>
      <w:r>
        <w:rPr>
          <w:sz w:val="20"/>
        </w:rPr>
        <w:t xml:space="preserve">Jurisprudencia P./J.106/2006, Pleno </w:t>
      </w:r>
      <w:r w:rsidRPr="00AE2736">
        <w:rPr>
          <w:sz w:val="20"/>
        </w:rPr>
        <w:t xml:space="preserve">de la Suprema Corte de Justicia de la Nación, </w:t>
      </w:r>
      <w:r>
        <w:rPr>
          <w:sz w:val="20"/>
        </w:rPr>
        <w:t xml:space="preserve">Novena </w:t>
      </w:r>
      <w:r w:rsidRPr="00AE2736">
        <w:rPr>
          <w:sz w:val="20"/>
        </w:rPr>
        <w:t xml:space="preserve">Época, del Semanario Judicial de la Federación, </w:t>
      </w:r>
      <w:r>
        <w:rPr>
          <w:sz w:val="20"/>
        </w:rPr>
        <w:t xml:space="preserve">Tomo XXIV, </w:t>
      </w:r>
      <w:r>
        <w:rPr>
          <w:sz w:val="20"/>
        </w:rPr>
        <w:t>Octubre de 2006, página 5.</w:t>
      </w:r>
      <w:r w:rsidRPr="00AE2736">
        <w:rPr>
          <w:sz w:val="20"/>
        </w:rPr>
        <w:t xml:space="preserve"> </w:t>
      </w:r>
    </w:p>
  </w:footnote>
  <w:footnote w:id="11">
    <w:p w14:paraId="04DA2048" w14:textId="77777777" w:rsidR="00D4572B" w:rsidRPr="00BC6353" w:rsidRDefault="00D4572B" w:rsidP="00B12D72">
      <w:pPr>
        <w:pStyle w:val="corte5transcripcion"/>
        <w:spacing w:line="240" w:lineRule="auto"/>
        <w:ind w:left="0" w:right="-232"/>
        <w:rPr>
          <w:sz w:val="18"/>
          <w:szCs w:val="18"/>
        </w:rPr>
      </w:pPr>
      <w:r w:rsidRPr="00BC6353">
        <w:rPr>
          <w:rStyle w:val="Refdenotaalpie"/>
          <w:sz w:val="18"/>
          <w:szCs w:val="18"/>
        </w:rPr>
        <w:footnoteRef/>
      </w:r>
      <w:r w:rsidRPr="00BC6353">
        <w:rPr>
          <w:sz w:val="18"/>
          <w:szCs w:val="18"/>
        </w:rPr>
        <w:t xml:space="preserve"> </w:t>
      </w:r>
      <w:r w:rsidRPr="00BC6353">
        <w:rPr>
          <w:b w:val="0"/>
          <w:i w:val="0"/>
          <w:sz w:val="18"/>
          <w:szCs w:val="18"/>
        </w:rPr>
        <w:t>"</w:t>
      </w:r>
      <w:r w:rsidRPr="0000166A">
        <w:rPr>
          <w:bCs/>
          <w:i w:val="0"/>
          <w:sz w:val="18"/>
          <w:szCs w:val="18"/>
        </w:rPr>
        <w:t xml:space="preserve">IMPUESTOS, PROPORCIONALIDAD Y EQUIDAD DE </w:t>
      </w:r>
      <w:r w:rsidRPr="0000166A">
        <w:rPr>
          <w:bCs/>
          <w:i w:val="0"/>
          <w:sz w:val="18"/>
          <w:szCs w:val="18"/>
        </w:rPr>
        <w:t>LOS</w:t>
      </w:r>
      <w:r w:rsidRPr="00BC6353">
        <w:rPr>
          <w:b w:val="0"/>
          <w:i w:val="0"/>
          <w:sz w:val="18"/>
          <w:szCs w:val="18"/>
        </w:rPr>
        <w:t>.-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cualitativamente superior a los de medianos y reducidos recursos. El cumplimiento de este principio se realiza a través de tarifas progresivas, pues mediante ellas se consigue que cubran un impuesto en monto superior los contribuyentes de más elevados recursos y uno inferior los de menores ingresos, estableciéndose, además, una diferencia congruente entre los diversos niveles de ingresos. 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disminución patrimonial que proceda y que debe encontrarse en proporción a los ingresos obtenidos. El principio de equidad radica naturalmente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2">
    <w:p w14:paraId="3F151697" w14:textId="77777777" w:rsidR="00D4572B" w:rsidRPr="00BC6353" w:rsidRDefault="00D4572B" w:rsidP="00787FA8">
      <w:pPr>
        <w:pStyle w:val="corte5transcripcion"/>
        <w:spacing w:line="240" w:lineRule="auto"/>
        <w:ind w:left="0" w:right="-232"/>
        <w:rPr>
          <w:sz w:val="18"/>
          <w:szCs w:val="18"/>
        </w:rPr>
      </w:pPr>
      <w:r w:rsidRPr="00BC6353">
        <w:rPr>
          <w:rStyle w:val="Refdenotaalpie"/>
          <w:b w:val="0"/>
          <w:i w:val="0"/>
          <w:sz w:val="18"/>
          <w:szCs w:val="18"/>
        </w:rPr>
        <w:footnoteRef/>
      </w:r>
      <w:r w:rsidRPr="00BC6353">
        <w:rPr>
          <w:sz w:val="18"/>
          <w:szCs w:val="18"/>
        </w:rPr>
        <w:t xml:space="preserve"> </w:t>
      </w:r>
      <w:r w:rsidRPr="00BC6353">
        <w:rPr>
          <w:b w:val="0"/>
          <w:i w:val="0"/>
          <w:sz w:val="18"/>
          <w:szCs w:val="18"/>
        </w:rPr>
        <w:t>“</w:t>
      </w:r>
      <w:r w:rsidRPr="0000166A">
        <w:rPr>
          <w:bCs/>
          <w:i w:val="0"/>
          <w:sz w:val="18"/>
          <w:szCs w:val="18"/>
        </w:rPr>
        <w:t>PROPORCIONALIDAD Y EQUIDAD TRIBUTARIAS ESTABLECIDAS EN EL ARTÍCULO 31, FRACCION IV, CONSTITUCIONAL.</w:t>
      </w:r>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 superior a los de medianos y reducidos recursos. El cumplimiento de este principio se realiza a través de tarifas progresivas, pues mediante ellas se consigue que cubran un impuesto en monto superior los contribuyentes de más elevados recursos. </w:t>
      </w:r>
      <w:r w:rsidRPr="00BC6353">
        <w:rPr>
          <w:b w:val="0"/>
          <w:i w:val="0"/>
          <w:sz w:val="18"/>
          <w:szCs w:val="18"/>
        </w:rPr>
        <w:t>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la disminución patrimonial que proceda, y que debe encontrarse en proporción a los ingresos obtenidos. El principio de equidad radica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3">
    <w:p w14:paraId="27106DAF" w14:textId="77777777" w:rsidR="00D4572B" w:rsidRDefault="00D4572B" w:rsidP="00787FA8">
      <w:pPr>
        <w:pStyle w:val="corte5transcripcion"/>
        <w:spacing w:line="240" w:lineRule="auto"/>
        <w:ind w:left="0" w:right="-232"/>
      </w:pPr>
      <w:r w:rsidRPr="00BC6353">
        <w:rPr>
          <w:rStyle w:val="Refdenotaalpie"/>
          <w:b w:val="0"/>
          <w:i w:val="0"/>
          <w:sz w:val="18"/>
          <w:szCs w:val="18"/>
        </w:rPr>
        <w:footnoteRef/>
      </w:r>
      <w:r w:rsidRPr="00BC6353">
        <w:rPr>
          <w:b w:val="0"/>
          <w:i w:val="0"/>
          <w:sz w:val="18"/>
          <w:szCs w:val="18"/>
        </w:rPr>
        <w:t>“</w:t>
      </w:r>
      <w:r w:rsidRPr="006275C5">
        <w:rPr>
          <w:bCs/>
          <w:i w:val="0"/>
          <w:sz w:val="18"/>
          <w:szCs w:val="18"/>
        </w:rPr>
        <w:t>CAPACIDAD CONTRIBUTIVA. CONSISTE EN LA POTENCIALIDAD REAL DE CONTRIBUIR A LOS GASTOS PÚBLICOS.</w:t>
      </w:r>
      <w:r w:rsidRPr="00BC6353">
        <w:rPr>
          <w:b w:val="0"/>
          <w:i w:val="0"/>
          <w:sz w:val="18"/>
          <w:szCs w:val="18"/>
        </w:rPr>
        <w:t xml:space="preserve">  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r w:rsidRPr="00BC6353">
        <w:rPr>
          <w:b w:val="0"/>
          <w:i w:val="0"/>
          <w:sz w:val="18"/>
          <w:szCs w:val="18"/>
        </w:rPr>
        <w:t>Estado,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4">
    <w:p w14:paraId="3C4C8959" w14:textId="77777777" w:rsidR="00D4572B" w:rsidRPr="00F8728E" w:rsidRDefault="00D4572B" w:rsidP="00133DBA">
      <w:pPr>
        <w:pStyle w:val="corte5transcripcion"/>
        <w:spacing w:line="240" w:lineRule="auto"/>
        <w:ind w:left="0" w:right="-232"/>
        <w:rPr>
          <w:sz w:val="20"/>
        </w:rPr>
      </w:pPr>
      <w:r w:rsidRPr="00F8728E">
        <w:rPr>
          <w:rStyle w:val="Refdenotaalpie"/>
          <w:b w:val="0"/>
          <w:i w:val="0"/>
          <w:sz w:val="20"/>
        </w:rPr>
        <w:footnoteRef/>
      </w:r>
      <w:r w:rsidRPr="00F8728E">
        <w:rPr>
          <w:b w:val="0"/>
          <w:i w:val="0"/>
          <w:sz w:val="20"/>
        </w:rPr>
        <w:t xml:space="preserve"> </w:t>
      </w:r>
      <w:r w:rsidRPr="00F8728E">
        <w:rPr>
          <w:sz w:val="20"/>
        </w:rPr>
        <w:t xml:space="preserve"> </w:t>
      </w:r>
      <w:r w:rsidRPr="00F8728E">
        <w:rPr>
          <w:b w:val="0"/>
          <w:i w:val="0"/>
          <w:sz w:val="20"/>
        </w:rPr>
        <w:t>“</w:t>
      </w:r>
      <w:r w:rsidRPr="00A975EC">
        <w:rPr>
          <w:bCs/>
          <w:i w:val="0"/>
          <w:sz w:val="20"/>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F8728E">
        <w:rPr>
          <w:b w:val="0"/>
          <w:i w:val="0"/>
          <w:sz w:val="20"/>
        </w:rPr>
        <w:t xml:space="preserve">  Conforme a la jurisprudencia de esta Suprema Corte de Justicia de la Nación, para analizar la proporcionalidad y equidad de un impuesto debe verificarse, en principio, en qué términos se realiza el respectivo hecho imponible, tomando en cuenta su naturaleza, es decir, si grava una manifestación general de la riqueza de los gobernados, o bien, si recae sobre una manifestación aislada de ésta; asimismo, si los respectivos contribuyentes, al ubicarse en la hipótesis de hecho que genera la obligación tributaria, lo hacen en las mismas circunstancias o en diversas que ameriten un trato desigual. En ese contexto, tratándose del impuesto sobre la renta, que recae sobre una manifestación general de riqueza, debe tenerse presente que la capacidad contributiva de los gobernados no se determina únicamente por la cuantía de la renta obtenida, sino también por la fuente de la que proviene ésta (capital o trabajo) o, incluso, por las especiales circunstancias que rodean su obtención; de ahí que el legislador puede válidamente establecer diversas categorías de causantes, a los que conferirá un tratamiento diverso atendiendo a las circunstancias objetivas que reflejen una diferente capacidad contributiva, por lo que para determinar si el trato desigual, que se da a las diferentes categorías de contribuyentes del citado impuesto es proporcional y equitativo, debe verificarse si las circunstancias que distinguen a un grupo de otros reflejan una diversa capacidad contributiva y si con tal distinción se grava en mayor medida a los que, por esas situaciones de hecho, manifiestan en mayor grado esa capacidad”.</w:t>
      </w:r>
    </w:p>
  </w:footnote>
  <w:footnote w:id="15">
    <w:p w14:paraId="5F3DECB4" w14:textId="77777777" w:rsidR="00D4572B" w:rsidRPr="00133DBA" w:rsidRDefault="00D4572B" w:rsidP="00E973EA">
      <w:pPr>
        <w:pStyle w:val="Textonotapie"/>
        <w:ind w:right="-232"/>
        <w:jc w:val="both"/>
      </w:pPr>
      <w:r w:rsidRPr="00843DE8">
        <w:rPr>
          <w:rStyle w:val="Refdenotaalpie"/>
        </w:rPr>
        <w:footnoteRef/>
      </w:r>
      <w:r w:rsidRPr="00843DE8">
        <w:t xml:space="preserve"> “</w:t>
      </w:r>
      <w:r w:rsidRPr="00843DE8">
        <w:rPr>
          <w:rFonts w:ascii="Arial" w:hAnsi="Arial" w:cs="Arial"/>
        </w:rPr>
        <w:t xml:space="preserve">Tesis P./J. 10/2003, del Tribunal Pleno, Novena Época, publicada en el Semanario Judicial de la Federación y su Gaceta. Tomo XVII, </w:t>
      </w:r>
      <w:r w:rsidRPr="00843DE8">
        <w:rPr>
          <w:rFonts w:ascii="Arial" w:hAnsi="Arial" w:cs="Arial"/>
        </w:rPr>
        <w:t xml:space="preserve">Mayo de 2003, página 144, de rubro y texto siguientes: </w:t>
      </w:r>
      <w:r w:rsidRPr="00843DE8">
        <w:rPr>
          <w:rFonts w:ascii="Arial" w:hAnsi="Arial" w:cs="Arial"/>
          <w:b/>
          <w:bCs/>
        </w:rPr>
        <w:t xml:space="preserve">PROPORCIONALIDAD TRIBUTARIA. DEBE </w:t>
      </w:r>
      <w:r w:rsidRPr="00133DBA">
        <w:rPr>
          <w:rFonts w:ascii="Arial" w:hAnsi="Arial" w:cs="Arial"/>
          <w:b/>
          <w:bCs/>
        </w:rPr>
        <w:t>EXISTIR CONGRUENCIA ENTRE EL TRIBUTO Y LA CAPACIDAD CONTRIBUTIVA DE LOS CAUSANTES.</w:t>
      </w:r>
      <w:r w:rsidRPr="00133DBA">
        <w:rPr>
          <w:rFonts w:ascii="Arial" w:hAnsi="Arial" w:cs="Arial"/>
        </w:rPr>
        <w:t xml:space="preserve"> El artículo 31, fracción IV, de la Constitución Federal establece el principio de proporcionalidad de los tributos. Éste radica, medularmente, en que los sujetos pasivos deben contribuir al gasto público en función de su respectiva capacidad contributiva, debiendo aportar una parte adecuada de sus ingresos, utilidades, rendimientos, o la manifestación de riqueza gravada. Conforme a este principio los gravámenes deben fijarse de acuerdo con la capacidad económica de cada sujeto pasivo, de manera que las personas que obtengan ingresos elevados tributen en forma cualitativamente superior a los de medianos y reducidos recursos. Para que un gravamen sea proporcional debe existir congruencia entre el mismo y la capacidad contributiva de los causantes; entendida ésta como la potencialidad real de contribuir al gasto público que el legislador atribuye al sujeto pasivo del impuesto en el tributo de que se trate, tomando en consideración que todos los supuestos de las contribuciones tienen una naturaleza económica en la forma de una situación o de un movimiento de riqueza y las consecuencias tributarias son medidas en función de esa riqueza. La capacidad contributiva se vincula con la persona que tiene que soportar la carga del tributo, o sea, aquella que finalmente, según las diversas características de cada contribución, ve disminuido su patrimonio al pagar una cantidad específica por concepto de esos gravámenes, sea en su calidad de sujeto pasivo o como destinatario de los mismos. De ahí que, para que un gravamen sea proporcional, debe existir congruencia entre el impuesto creado por el Estado y la capacidad contributiva de los causantes, en la medida en que debe pagar más quien tenga una mayor capacidad contributiva y menos el que la tenga en menor proporción”.</w:t>
      </w:r>
    </w:p>
    <w:p w14:paraId="65AE9945" w14:textId="77777777" w:rsidR="00D4572B" w:rsidRPr="00133DBA" w:rsidRDefault="00D4572B" w:rsidP="00E973EA">
      <w:pPr>
        <w:pStyle w:val="Textonotapie"/>
        <w:ind w:right="-232"/>
        <w:jc w:val="both"/>
        <w:rPr>
          <w:rFonts w:ascii="Arial" w:hAnsi="Arial" w:cs="Arial"/>
        </w:rPr>
      </w:pPr>
      <w:r w:rsidRPr="00133DBA">
        <w:rPr>
          <w:rFonts w:ascii="Arial" w:hAnsi="Arial" w:cs="Arial"/>
        </w:rPr>
        <w:t>Tesis P./J. 109/99 del Tribunal Pleno, Novena Época, publicada en el Semanario Judicial de la Federación y su Gaceta. Tomo X, Noviembre de 1999, página 22, de rubro y texto siguientes: “</w:t>
      </w:r>
      <w:r w:rsidRPr="00133DBA">
        <w:rPr>
          <w:rFonts w:ascii="Arial" w:hAnsi="Arial" w:cs="Arial"/>
          <w:b/>
          <w:bCs/>
        </w:rPr>
        <w:t xml:space="preserve">CAPACIDAD CONTRIBUTIVA. CONSISTE EN LA POTENCIALIDAD REAL DE CONTRIBUIR A LOS GASTOS PÚBLICOS. </w:t>
      </w:r>
      <w:r w:rsidRPr="00133DBA">
        <w:rPr>
          <w:rFonts w:ascii="Arial" w:hAnsi="Arial" w:cs="Arial"/>
        </w:rPr>
        <w:t>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Estado,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6">
    <w:p w14:paraId="763ACAC6" w14:textId="77777777" w:rsidR="00D4572B" w:rsidRPr="00133DBA" w:rsidRDefault="00D4572B" w:rsidP="00E973EA">
      <w:pPr>
        <w:pStyle w:val="Estilo"/>
        <w:ind w:right="-232"/>
        <w:rPr>
          <w:i/>
          <w:iCs/>
          <w:sz w:val="20"/>
          <w:szCs w:val="20"/>
        </w:rPr>
      </w:pPr>
      <w:r w:rsidRPr="00133DBA">
        <w:rPr>
          <w:rStyle w:val="Refdenotaalpie"/>
          <w:sz w:val="20"/>
          <w:szCs w:val="20"/>
        </w:rPr>
        <w:footnoteRef/>
      </w:r>
      <w:r w:rsidRPr="00133DBA">
        <w:rPr>
          <w:sz w:val="20"/>
          <w:szCs w:val="20"/>
        </w:rPr>
        <w:t xml:space="preserve"> </w:t>
      </w:r>
      <w:r w:rsidRPr="00133DBA">
        <w:rPr>
          <w:i/>
          <w:iCs/>
          <w:sz w:val="20"/>
          <w:szCs w:val="20"/>
        </w:rPr>
        <w:t>“</w:t>
      </w:r>
      <w:r w:rsidRPr="00133DBA">
        <w:rPr>
          <w:b/>
          <w:bCs/>
          <w:i/>
          <w:iCs/>
          <w:sz w:val="20"/>
          <w:szCs w:val="20"/>
        </w:rPr>
        <w:t>Artículo 25.</w:t>
      </w:r>
      <w:r w:rsidRPr="00133DBA">
        <w:rPr>
          <w:i/>
          <w:iCs/>
          <w:sz w:val="20"/>
          <w:szCs w:val="20"/>
        </w:rPr>
        <w:t xml:space="preserve"> Los contribuyentes podrán efectuar las deducciones siguientes:</w:t>
      </w:r>
    </w:p>
    <w:p w14:paraId="4881FE8C" w14:textId="77777777" w:rsidR="00D4572B" w:rsidRPr="00133DBA" w:rsidRDefault="00D4572B" w:rsidP="00E973EA">
      <w:pPr>
        <w:pStyle w:val="Estilo"/>
        <w:ind w:right="-232"/>
        <w:rPr>
          <w:i/>
          <w:iCs/>
          <w:sz w:val="20"/>
          <w:szCs w:val="20"/>
        </w:rPr>
      </w:pPr>
      <w:r w:rsidRPr="00133DBA">
        <w:rPr>
          <w:i/>
          <w:iCs/>
          <w:sz w:val="20"/>
          <w:szCs w:val="20"/>
        </w:rPr>
        <w:t>[…]</w:t>
      </w:r>
    </w:p>
    <w:p w14:paraId="3E0F1B00" w14:textId="77777777" w:rsidR="00D4572B" w:rsidRPr="00591833" w:rsidRDefault="00D4572B" w:rsidP="00E973EA">
      <w:pPr>
        <w:pStyle w:val="Estilo"/>
        <w:ind w:right="-232"/>
        <w:rPr>
          <w:i/>
          <w:iCs/>
          <w:sz w:val="16"/>
          <w:szCs w:val="16"/>
        </w:rPr>
      </w:pPr>
      <w:r w:rsidRPr="00133DBA">
        <w:rPr>
          <w:i/>
          <w:iCs/>
          <w:sz w:val="20"/>
          <w:szCs w:val="20"/>
        </w:rPr>
        <w:t>VII. Los intereses devengados a cargo en el ejercicio, sin ajuste alguno. En el caso de los intereses moratorios, a partir del cuarto mes se deducirán únicamente los efectivamente pagados. Para estos efectos, se considera que los pagos por intereses moratorios que se realicen con posterioridad al tercer mes siguiente a aquél en el que se incurrió en mora cubren, en primer término, los intereses moratorios devengados en los tres meses siguientes a aquél en el</w:t>
      </w:r>
      <w:r w:rsidRPr="00591833">
        <w:rPr>
          <w:i/>
          <w:iCs/>
          <w:sz w:val="16"/>
          <w:szCs w:val="16"/>
        </w:rPr>
        <w:t xml:space="preserve"> que se incurrió en mora, hasta que el monto pagado exceda al monto de los intereses moratorios devengados deducidos correspondientes al último periodo citado.</w:t>
      </w:r>
    </w:p>
    <w:p w14:paraId="648B962E" w14:textId="77777777" w:rsidR="00D4572B" w:rsidRPr="00591833" w:rsidRDefault="00D4572B" w:rsidP="00E973EA">
      <w:pPr>
        <w:pStyle w:val="Estilo"/>
        <w:ind w:right="-232"/>
        <w:rPr>
          <w:i/>
          <w:iCs/>
          <w:sz w:val="16"/>
          <w:szCs w:val="16"/>
        </w:rPr>
      </w:pPr>
      <w:r>
        <w:rPr>
          <w:i/>
          <w:iCs/>
          <w:sz w:val="16"/>
          <w:szCs w:val="16"/>
        </w:rPr>
        <w:t>[…]</w:t>
      </w:r>
      <w:r w:rsidRPr="00591833">
        <w:rPr>
          <w:i/>
          <w:iCs/>
          <w:sz w:val="16"/>
          <w:szCs w:val="16"/>
        </w:rPr>
        <w:t>”</w:t>
      </w:r>
    </w:p>
    <w:p w14:paraId="5A0D51FA" w14:textId="77777777" w:rsidR="00D4572B" w:rsidRPr="00591833" w:rsidRDefault="00D4572B" w:rsidP="00E973EA">
      <w:pPr>
        <w:pStyle w:val="Estilo"/>
        <w:ind w:right="-232"/>
        <w:rPr>
          <w:i/>
          <w:iCs/>
          <w:sz w:val="16"/>
          <w:szCs w:val="16"/>
        </w:rPr>
      </w:pPr>
      <w:r w:rsidRPr="00591833">
        <w:rPr>
          <w:i/>
          <w:iCs/>
          <w:sz w:val="16"/>
          <w:szCs w:val="16"/>
        </w:rPr>
        <w:t>“</w:t>
      </w:r>
      <w:r w:rsidRPr="0000166A">
        <w:rPr>
          <w:b/>
          <w:bCs/>
          <w:i/>
          <w:iCs/>
          <w:sz w:val="16"/>
          <w:szCs w:val="16"/>
        </w:rPr>
        <w:t>Artículo 27.</w:t>
      </w:r>
      <w:r w:rsidRPr="00591833">
        <w:rPr>
          <w:i/>
          <w:iCs/>
          <w:sz w:val="16"/>
          <w:szCs w:val="16"/>
        </w:rPr>
        <w:t xml:space="preserve"> Las deducciones autorizadas en este Título deberán reunir los siguientes requisitos:</w:t>
      </w:r>
    </w:p>
    <w:p w14:paraId="4C0ED9E8" w14:textId="77777777" w:rsidR="00D4572B" w:rsidRPr="00591833" w:rsidRDefault="00D4572B" w:rsidP="00E973EA">
      <w:pPr>
        <w:pStyle w:val="Estilo"/>
        <w:ind w:right="-232"/>
        <w:rPr>
          <w:i/>
          <w:iCs/>
          <w:sz w:val="16"/>
          <w:szCs w:val="16"/>
        </w:rPr>
      </w:pPr>
      <w:r w:rsidRPr="00591833">
        <w:rPr>
          <w:i/>
          <w:iCs/>
          <w:sz w:val="16"/>
          <w:szCs w:val="16"/>
        </w:rPr>
        <w:t>I. Ser estrictamente indispensables para los fines de la actividad del contribuyente, salvo que se trate de donativos no onerosos ni remunerativos, que satisfagan los requisitos previstos en esta Ley y en las reglas generales que para el efecto establezca el Servicio de Administración Tributaria y que se otorguen en los siguientes casos:</w:t>
      </w:r>
    </w:p>
    <w:p w14:paraId="70CA7D4F" w14:textId="77777777" w:rsidR="00D4572B" w:rsidRPr="00591833" w:rsidRDefault="00D4572B" w:rsidP="00E973EA">
      <w:pPr>
        <w:pStyle w:val="Estilo"/>
        <w:ind w:right="-232"/>
        <w:rPr>
          <w:i/>
          <w:iCs/>
          <w:sz w:val="16"/>
          <w:szCs w:val="16"/>
        </w:rPr>
      </w:pPr>
      <w:r w:rsidRPr="00591833">
        <w:rPr>
          <w:i/>
          <w:iCs/>
          <w:sz w:val="16"/>
          <w:szCs w:val="16"/>
        </w:rPr>
        <w:t>a) A la Federación, entidades federativas o municipios, sus organismos descentralizados que tributen conforme al Título III de la presente Ley, así como a los organismos internacionales de los que México sea miembro de pleno derecho, siempre que los fines para los que dichos organismos fueron creados correspondan a las actividades por las que se puede obtener autorización para recibir donativos deducibles de impuestos.</w:t>
      </w:r>
    </w:p>
    <w:p w14:paraId="23362C59" w14:textId="77777777" w:rsidR="00D4572B" w:rsidRPr="00591833" w:rsidRDefault="00D4572B" w:rsidP="00E973EA">
      <w:pPr>
        <w:pStyle w:val="Estilo"/>
        <w:ind w:right="-232"/>
        <w:rPr>
          <w:i/>
          <w:iCs/>
          <w:sz w:val="16"/>
          <w:szCs w:val="16"/>
        </w:rPr>
      </w:pPr>
      <w:r w:rsidRPr="00591833">
        <w:rPr>
          <w:i/>
          <w:iCs/>
          <w:sz w:val="16"/>
          <w:szCs w:val="16"/>
        </w:rPr>
        <w:t>b) A las entidades a las que se refiere el artículo 82 de esta Ley.</w:t>
      </w:r>
    </w:p>
    <w:p w14:paraId="7050147E" w14:textId="77777777" w:rsidR="00D4572B" w:rsidRDefault="00D4572B" w:rsidP="00E973EA">
      <w:pPr>
        <w:pStyle w:val="Estilo"/>
        <w:ind w:right="-232"/>
        <w:rPr>
          <w:i/>
          <w:iCs/>
          <w:sz w:val="16"/>
          <w:szCs w:val="16"/>
        </w:rPr>
      </w:pPr>
      <w:r w:rsidRPr="00591833">
        <w:rPr>
          <w:i/>
          <w:iCs/>
          <w:sz w:val="16"/>
          <w:szCs w:val="16"/>
        </w:rPr>
        <w:t>c) A las personas morales a que se refieren los artículos 79, fracción XIX y 82 de esta Ley.</w:t>
      </w:r>
    </w:p>
    <w:p w14:paraId="4B2F0E86" w14:textId="77777777" w:rsidR="00D4572B" w:rsidRPr="00591833" w:rsidRDefault="00D4572B" w:rsidP="00E973EA">
      <w:pPr>
        <w:pStyle w:val="Estilo"/>
        <w:ind w:right="-232"/>
        <w:rPr>
          <w:i/>
          <w:iCs/>
          <w:sz w:val="16"/>
          <w:szCs w:val="16"/>
        </w:rPr>
      </w:pPr>
      <w:r w:rsidRPr="00591833">
        <w:rPr>
          <w:i/>
          <w:iCs/>
          <w:sz w:val="16"/>
          <w:szCs w:val="16"/>
        </w:rPr>
        <w:t>d) A las personas morales a las que se refieren las fracciones VI, X, XI, XX, y XXV del artículo 79 de esta Ley y que cumplan con los requisitos establecidos en el artículo 82 de la misma Ley.</w:t>
      </w:r>
    </w:p>
    <w:p w14:paraId="674D021E" w14:textId="77777777" w:rsidR="00D4572B" w:rsidRPr="00591833" w:rsidRDefault="00D4572B" w:rsidP="00E973EA">
      <w:pPr>
        <w:pStyle w:val="Estilo"/>
        <w:ind w:right="-232"/>
        <w:rPr>
          <w:i/>
          <w:iCs/>
          <w:sz w:val="16"/>
          <w:szCs w:val="16"/>
        </w:rPr>
      </w:pPr>
      <w:r w:rsidRPr="00591833">
        <w:rPr>
          <w:i/>
          <w:iCs/>
          <w:sz w:val="16"/>
          <w:szCs w:val="16"/>
        </w:rPr>
        <w:t>e) A las asociaciones y sociedades civiles que otorguen becas y cumplan con los requisitos del artículo 83 de esta Ley.</w:t>
      </w:r>
    </w:p>
    <w:p w14:paraId="10573821" w14:textId="77777777" w:rsidR="00D4572B" w:rsidRPr="00591833" w:rsidRDefault="00D4572B" w:rsidP="00E973EA">
      <w:pPr>
        <w:pStyle w:val="Estilo"/>
        <w:ind w:right="-232"/>
        <w:rPr>
          <w:i/>
          <w:iCs/>
          <w:sz w:val="16"/>
          <w:szCs w:val="16"/>
        </w:rPr>
      </w:pPr>
      <w:r w:rsidRPr="00591833">
        <w:rPr>
          <w:i/>
          <w:iCs/>
          <w:sz w:val="16"/>
          <w:szCs w:val="16"/>
        </w:rPr>
        <w:t>f) A programas de escuela empresa.</w:t>
      </w:r>
    </w:p>
    <w:p w14:paraId="7D110DCC" w14:textId="77777777" w:rsidR="00D4572B" w:rsidRPr="00591833" w:rsidRDefault="00D4572B" w:rsidP="00E973EA">
      <w:pPr>
        <w:pStyle w:val="Estilo"/>
        <w:ind w:right="-232"/>
        <w:rPr>
          <w:i/>
          <w:iCs/>
          <w:sz w:val="16"/>
          <w:szCs w:val="16"/>
        </w:rPr>
      </w:pPr>
      <w:r w:rsidRPr="00591833">
        <w:rPr>
          <w:i/>
          <w:iCs/>
          <w:sz w:val="16"/>
          <w:szCs w:val="16"/>
        </w:rPr>
        <w:t>El Servicio de Administración Tributaria publicará en el Diario Oficial de la Federación y dará a conocer en su página electrónica de Internet los datos de las instituciones a que se refieren los incisos b), c), d) y e) de esta fracción que reúnan los requisitos antes señalados.</w:t>
      </w:r>
    </w:p>
    <w:p w14:paraId="124B33B6" w14:textId="77777777" w:rsidR="00D4572B" w:rsidRPr="00591833" w:rsidRDefault="00D4572B" w:rsidP="00E973EA">
      <w:pPr>
        <w:pStyle w:val="Estilo"/>
        <w:ind w:right="-232"/>
        <w:rPr>
          <w:i/>
          <w:iCs/>
          <w:sz w:val="16"/>
          <w:szCs w:val="16"/>
        </w:rPr>
      </w:pPr>
      <w:r w:rsidRPr="00591833">
        <w:rPr>
          <w:i/>
          <w:iCs/>
          <w:sz w:val="16"/>
          <w:szCs w:val="16"/>
        </w:rPr>
        <w:t>Tratándose de donativos otorgados a instituciones de enseñanza autorizadas para recibir donativos del Título III de esta Ley, los mismos serán deducibles siempre que sean establecimientos públicos o de propiedad de particulares que tengan autorización o reconocimiento de validez oficial de estudios en los términos de la Ley General de Educación, se destinen a la adquisición de bienes de inversión, a la investigación científica o al desarrollo de tecnología, así como a gastos de administración hasta por el monto, en este último caso, que señale el Reglamento de esta Ley, se trate de donaciones no onerosas ni remunerativas y siempre que dichas instituciones no hayan distribuido remanentes a sus socios o integrantes en los últimos cinco años.</w:t>
      </w:r>
    </w:p>
    <w:p w14:paraId="6A0B9678" w14:textId="77777777" w:rsidR="00D4572B" w:rsidRDefault="00D4572B" w:rsidP="00E973EA">
      <w:pPr>
        <w:pStyle w:val="Estilo"/>
        <w:ind w:right="-232"/>
        <w:rPr>
          <w:i/>
          <w:iCs/>
          <w:sz w:val="16"/>
          <w:szCs w:val="16"/>
        </w:rPr>
      </w:pPr>
      <w:r w:rsidRPr="00591833">
        <w:rPr>
          <w:i/>
          <w:iCs/>
          <w:sz w:val="16"/>
          <w:szCs w:val="16"/>
        </w:rPr>
        <w:t>El monto total de los donativos a que se refiere esta fracción será deducible hasta por una cantidad que no exceda del 7% de la utilidad fiscal obtenida por el contribuyente en el ejercicio inmediato anterior a aquél en el que se efectúe la deducción. Cuando se realicen donativos a favor de la Federación, de las entidades federativas, de los municipios, o de sus organismos descentralizados, el monto deducible no podrá exceder del 4% de la utilidad fiscal a que se refiere este párrafo, sin que en ningún caso el límite de la deducción total, considerando estos donativos y los realizados a donatarias autorizadas distintas, exceda del 7% citado.</w:t>
      </w:r>
    </w:p>
    <w:p w14:paraId="59987320" w14:textId="77777777" w:rsidR="00D4572B" w:rsidRPr="00846862" w:rsidRDefault="00D4572B" w:rsidP="00E973EA">
      <w:pPr>
        <w:pStyle w:val="Estilo"/>
        <w:ind w:right="-232"/>
        <w:rPr>
          <w:i/>
          <w:iCs/>
          <w:sz w:val="18"/>
          <w:szCs w:val="18"/>
        </w:rPr>
      </w:pPr>
      <w:r>
        <w:rPr>
          <w:i/>
          <w:iCs/>
          <w:sz w:val="16"/>
          <w:szCs w:val="16"/>
        </w:rPr>
        <w:t>[…]”</w:t>
      </w:r>
    </w:p>
  </w:footnote>
  <w:footnote w:id="17">
    <w:p w14:paraId="4885844B" w14:textId="77777777" w:rsidR="00D4572B" w:rsidRPr="00592D9F" w:rsidRDefault="00D4572B" w:rsidP="00133DBA">
      <w:pPr>
        <w:autoSpaceDE w:val="0"/>
        <w:autoSpaceDN w:val="0"/>
        <w:adjustRightInd w:val="0"/>
        <w:ind w:right="-232"/>
        <w:jc w:val="both"/>
        <w:rPr>
          <w:rFonts w:ascii="Arial" w:eastAsia="Calibri" w:hAnsi="Arial" w:cs="Arial"/>
        </w:rPr>
      </w:pPr>
      <w:r w:rsidRPr="0045134A">
        <w:rPr>
          <w:rStyle w:val="Refdenotaalpie"/>
          <w:rFonts w:ascii="Arial" w:hAnsi="Arial" w:cs="Arial"/>
        </w:rPr>
        <w:footnoteRef/>
      </w:r>
      <w:r w:rsidRPr="0045134A">
        <w:rPr>
          <w:rFonts w:ascii="Arial" w:hAnsi="Arial" w:cs="Arial"/>
        </w:rPr>
        <w:t xml:space="preserve"> </w:t>
      </w:r>
      <w:r w:rsidRPr="0045134A">
        <w:rPr>
          <w:rFonts w:ascii="Arial" w:eastAsia="Calibri" w:hAnsi="Arial" w:cs="Arial"/>
        </w:rPr>
        <w:t>Debe</w:t>
      </w:r>
      <w:r w:rsidRPr="00592D9F">
        <w:rPr>
          <w:rFonts w:ascii="Arial" w:eastAsia="Calibri" w:hAnsi="Arial" w:cs="Arial"/>
        </w:rPr>
        <w:t xml:space="preserve"> precisarse que por estar inmerso en el referido análisis el principio de proporcionalidad tributaria previsto en el artículo 31, fracción IV, de la Ley Fundamental, por regla general, el juez constitucional no debe realizar un escrutinio estricto de las clasificaciones legislativas.</w:t>
      </w:r>
    </w:p>
    <w:p w14:paraId="4530F9C7"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Por tratarse de un precepto relativo a la materia tributaria, el escrutinio constitucional no debe ser estricto, sino flexible o laxo, en razón de que el legislador cuenta con una amplia libertad –reconocida constitucionalmente y a través de la jurisprudencia de este Tribunal Constitucional– en la configuración normativa del sistema tributario sustantivo y adjetivo, de modo que a fin de no vulnerar la libertad política del legislador, en campos como el mencionado,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w:t>
      </w:r>
    </w:p>
    <w:p w14:paraId="02EB1A8B"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1065F268" w14:textId="1E14A15A" w:rsidR="00D4572B" w:rsidRDefault="00D4572B" w:rsidP="00133DBA">
      <w:pPr>
        <w:autoSpaceDE w:val="0"/>
        <w:autoSpaceDN w:val="0"/>
        <w:adjustRightInd w:val="0"/>
        <w:ind w:right="-232"/>
        <w:jc w:val="both"/>
        <w:rPr>
          <w:rFonts w:ascii="Arial" w:eastAsia="Calibri" w:hAnsi="Arial" w:cs="Arial"/>
          <w:bCs/>
        </w:rPr>
      </w:pPr>
      <w:r>
        <w:rPr>
          <w:rFonts w:ascii="Arial" w:eastAsia="Calibri" w:hAnsi="Arial" w:cs="Arial"/>
        </w:rPr>
        <w:t xml:space="preserve">Al respecto, es aplicable la siguiente jurisprudencia </w:t>
      </w:r>
      <w:r>
        <w:rPr>
          <w:rFonts w:ascii="Arial" w:eastAsia="Calibri" w:hAnsi="Arial" w:cs="Arial"/>
          <w:iCs/>
        </w:rPr>
        <w:t>1a./J. 84/2006</w:t>
      </w:r>
      <w:r>
        <w:rPr>
          <w:rFonts w:ascii="Arial" w:eastAsia="Calibri" w:hAnsi="Arial" w:cs="Arial"/>
        </w:rPr>
        <w:t xml:space="preserve">de la Primera Sala, Novena Época, publicada en el Semanario Judicial de la Federación y su Gaceta, </w:t>
      </w:r>
      <w:r>
        <w:rPr>
          <w:rFonts w:ascii="Arial" w:eastAsia="Calibri" w:hAnsi="Arial" w:cs="Arial"/>
          <w:iCs/>
        </w:rPr>
        <w:t xml:space="preserve">Tomo: XXIV, </w:t>
      </w:r>
      <w:r>
        <w:rPr>
          <w:rFonts w:ascii="Arial" w:eastAsia="Calibri" w:hAnsi="Arial" w:cs="Arial"/>
          <w:iCs/>
        </w:rPr>
        <w:t xml:space="preserve">Noviembre de 2006, de rubro y texto: </w:t>
      </w:r>
      <w:r>
        <w:rPr>
          <w:rFonts w:ascii="Arial" w:eastAsia="Calibri" w:hAnsi="Arial" w:cs="Arial"/>
          <w:b/>
        </w:rPr>
        <w:t>“ANÁLISIS CONSTITUCIONAL. SU INTENSIDAD A LA LUZ DE LOS PRINCIPIOS DEMOCRÁTICO Y DE DIVISIÓN DE PODERES.</w:t>
      </w:r>
      <w:r>
        <w:rPr>
          <w:rFonts w:ascii="Arial" w:eastAsia="Calibri" w:hAnsi="Arial" w:cs="Arial"/>
          <w:b/>
          <w:i/>
          <w:iCs/>
        </w:rPr>
        <w:t xml:space="preserve"> </w:t>
      </w:r>
      <w:r>
        <w:rPr>
          <w:rFonts w:ascii="Arial" w:eastAsia="Calibri" w:hAnsi="Arial" w:cs="Arial"/>
          <w:bCs/>
        </w:rPr>
        <w:t xml:space="preserve">Acorde con las consideraciones sustentadas por la Primera Sala de esta Suprema Corte de Justicia de la Nación en la tesis 1a. CXXXIII/2004, de rubro: </w:t>
      </w:r>
      <w:r w:rsidR="00C04B5F">
        <w:rPr>
          <w:rFonts w:ascii="Arial" w:eastAsia="Calibri" w:hAnsi="Arial" w:cs="Arial"/>
          <w:bCs/>
        </w:rPr>
        <w:t>“</w:t>
      </w:r>
      <w:r>
        <w:rPr>
          <w:rFonts w:ascii="Arial" w:eastAsia="Calibri" w:hAnsi="Arial" w:cs="Arial"/>
          <w:bCs/>
        </w:rPr>
        <w:t>IGUALDAD. CASOS EN LOS QUE EL JUEZ CONSTITUCIONAL DEBE HACER UN ESCRUTINIO ESTRICTO DE LAS CLASIFICACIONES LEGISLATIVAS (INTERPRETACIÓN DEL ARTÍCULO 1º. DE LA CONSTITUCIÓN POLÍTICA DE LOS ESTADOS UNIDOS MEXICANOS).'', siempre que la acción clasificadora del legislador incida en los derechos fundamentales garantizados por la Constitución, será necesario aplicar con especial intensidad las exigencias derivadas del principio de igualdad y no discriminación. De igual manera, en aquellos asuntos en que el texto constitucional limita la discrecionalidad del Congreso o del Ejecutivo, la intervención y control del tribunal constitucional debe ser mayor, a fin de respetar el diseño establecido por ella. Para este Alto Tribunal es claro que la fuerza normativa del principio democrático y del principio de separación de poderes tiene como consecuencia obvia que los otros órganos del Estado -y entre ellos, el juzgador constitucional- deben respetar la libertad de configuración con que cuentan el Congreso y el Ejecutivo, en el marco de sus atribuciones. Conforme a lo anterior, la severidad del control judicial se encuentra inversamente relacionada con el grado de libertad de configuración por parte de los autores de la norma. De esta manera, resulta evidente que la Constitución Federal exige una modulación del juicio de igualdad, sin que eso implique ninguna renuncia de la Corte al estricto ejercicio de sus competencias de control. Por el contrario, en el caso de normatividad con efectos económicos o tributarios, por regla general, le intensidad del análisis constitucional debe ser poco estricta, con el fin de no vulnerar la libertad política del legislador, en campos como el económico,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 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32114432" w14:textId="77777777" w:rsidR="00D4572B" w:rsidRDefault="00D4572B" w:rsidP="00133DBA">
      <w:pPr>
        <w:autoSpaceDE w:val="0"/>
        <w:autoSpaceDN w:val="0"/>
        <w:adjustRightInd w:val="0"/>
        <w:ind w:right="-232"/>
        <w:contextualSpacing/>
        <w:jc w:val="both"/>
        <w:rPr>
          <w:rFonts w:ascii="Arial" w:eastAsia="Calibri" w:hAnsi="Arial" w:cs="Arial"/>
        </w:rPr>
      </w:pPr>
      <w:r>
        <w:rPr>
          <w:rFonts w:ascii="Arial" w:eastAsia="Calibri" w:hAnsi="Arial" w:cs="Arial"/>
        </w:rPr>
        <w:t xml:space="preserve">No se soslaya que en la materia tributaria se encuentren inmersos, entre otros y a título de ejemplo, los principios relativos a la seguridad jurídica, capacidad contributiva, legalidad, gasto público, propiedad, pues el análisis constitucional desde estos principios no implica que </w:t>
      </w:r>
      <w:r>
        <w:rPr>
          <w:rFonts w:ascii="Arial" w:eastAsia="Calibri" w:hAnsi="Arial" w:cs="Arial"/>
          <w:i/>
          <w:iCs/>
        </w:rPr>
        <w:t xml:space="preserve">per </w:t>
      </w:r>
      <w:r>
        <w:rPr>
          <w:rFonts w:ascii="Arial" w:eastAsia="Calibri" w:hAnsi="Arial" w:cs="Arial"/>
          <w:i/>
        </w:rPr>
        <w:t>se</w:t>
      </w:r>
      <w:r>
        <w:rPr>
          <w:rFonts w:ascii="Arial" w:eastAsia="Calibri" w:hAnsi="Arial" w:cs="Arial"/>
        </w:rPr>
        <w:t xml:space="preserve"> deba realizarse un escrutinio estricto, dado que en la materia que se tutela a través de ellos (tributaria), el legislador tiene –como se dijo– un amplio margen de configuración legislativa, sin que esto implique que no deba respetar en todo momento las citadas prerrogativas, así como las exigencias constitucionales aplicables, sino que debe realizarse una ponderación entre los intereses en juego, por una parte, la fuerza expansiva de dichos principios y, por otro, el interés general del Estado para lograr el cumplimiento efectivo del deber de contribuir, previendo los medios sustantivos y procesales para ello.</w:t>
      </w:r>
    </w:p>
    <w:p w14:paraId="5B71F66C" w14:textId="77777777" w:rsidR="00D4572B" w:rsidRDefault="00D4572B" w:rsidP="00D4572B">
      <w:pPr>
        <w:pStyle w:val="Textonotapie"/>
      </w:pPr>
    </w:p>
  </w:footnote>
  <w:footnote w:id="18">
    <w:p w14:paraId="3E077948" w14:textId="77777777" w:rsidR="00D4572B" w:rsidRDefault="00D4572B" w:rsidP="00BE4AB9">
      <w:pPr>
        <w:widowControl w:val="0"/>
        <w:ind w:right="-232"/>
        <w:jc w:val="both"/>
        <w:rPr>
          <w:rFonts w:ascii="Arial" w:hAnsi="Arial" w:cs="Arial"/>
          <w:lang w:val="x-none"/>
        </w:rPr>
      </w:pPr>
      <w:r w:rsidRPr="00A13F37">
        <w:rPr>
          <w:rStyle w:val="Refdenotaalpie"/>
          <w:rFonts w:ascii="Arial" w:hAnsi="Arial" w:cs="Arial"/>
        </w:rPr>
        <w:footnoteRef/>
      </w:r>
      <w:r w:rsidRPr="00A13F37">
        <w:rPr>
          <w:rFonts w:ascii="Arial" w:hAnsi="Arial" w:cs="Arial"/>
        </w:rPr>
        <w:t xml:space="preserve"> Amparo en Revisión 825/2014, fallado por esta Primera Sala en sesión de siete de octubre de dos mil quince, </w:t>
      </w:r>
      <w:r w:rsidRPr="00A13F37">
        <w:rPr>
          <w:rFonts w:ascii="Arial" w:hAnsi="Arial" w:cs="Arial"/>
          <w:lang w:val="x-none"/>
        </w:rPr>
        <w:t xml:space="preserve">por </w:t>
      </w:r>
      <w:r w:rsidRPr="00A13F37">
        <w:rPr>
          <w:rFonts w:ascii="Arial" w:hAnsi="Arial" w:cs="Arial"/>
        </w:rPr>
        <w:t>unanimidad de cinco</w:t>
      </w:r>
      <w:r w:rsidRPr="00A13F37">
        <w:rPr>
          <w:rFonts w:ascii="Arial" w:hAnsi="Arial" w:cs="Arial"/>
          <w:lang w:val="x-none"/>
        </w:rPr>
        <w:t xml:space="preserve"> votos de los </w:t>
      </w:r>
      <w:r w:rsidRPr="00A13F37">
        <w:rPr>
          <w:rFonts w:ascii="Arial" w:hAnsi="Arial" w:cs="Arial"/>
          <w:lang w:val="x-none"/>
        </w:rPr>
        <w:t>Ministros: Arturo Zaldívar Lelo de Larrea</w:t>
      </w:r>
      <w:r w:rsidRPr="00A13F37">
        <w:rPr>
          <w:rFonts w:ascii="Arial" w:hAnsi="Arial" w:cs="Arial"/>
        </w:rPr>
        <w:t>,</w:t>
      </w:r>
      <w:r w:rsidRPr="00A13F37">
        <w:rPr>
          <w:rFonts w:ascii="Arial" w:hAnsi="Arial" w:cs="Arial"/>
          <w:lang w:val="x-none"/>
        </w:rPr>
        <w:t xml:space="preserve"> José Ramón Cossío Díaz (Ponente), Jorge Mario Pardo Rebolledo</w:t>
      </w:r>
      <w:r w:rsidRPr="00A13F37">
        <w:rPr>
          <w:rFonts w:ascii="Arial" w:hAnsi="Arial" w:cs="Arial"/>
        </w:rPr>
        <w:t>,</w:t>
      </w:r>
      <w:r w:rsidRPr="00A13F37">
        <w:rPr>
          <w:rFonts w:ascii="Arial" w:hAnsi="Arial" w:cs="Arial"/>
          <w:lang w:val="x-none"/>
        </w:rPr>
        <w:t xml:space="preserve"> Olga Sánchez Cordero de García Villegas y Presidente Alfredo Gutiérrez Ortiz Mena.</w:t>
      </w:r>
    </w:p>
    <w:p w14:paraId="3FC49626" w14:textId="77777777" w:rsidR="00D4572B" w:rsidRPr="00647C07" w:rsidRDefault="00D4572B" w:rsidP="00BE4AB9">
      <w:pPr>
        <w:ind w:right="-232"/>
        <w:jc w:val="both"/>
      </w:pPr>
      <w:r w:rsidRPr="003B31A2">
        <w:rPr>
          <w:rFonts w:ascii="Arial" w:hAnsi="Arial" w:cs="Arial"/>
        </w:rPr>
        <w:t>Amparo en Revisión 639/2014, fallado por esta Primera Sala en sesión de once de marzo de dos mil quince, por unanimidad de cinco votos de los Ministros: Arturo Zaldívar Lelo de Larrea, José Ramón Cossío Díaz, Jorge Mario Pardo Rebolledo (Ponente), Olga Sánchez Cordero de García Villegas y Presidente Alfredo Gutiérrez Ortiz Mena.</w:t>
      </w:r>
    </w:p>
  </w:footnote>
  <w:footnote w:id="19">
    <w:p w14:paraId="73C10538" w14:textId="77777777" w:rsidR="00D4572B" w:rsidRDefault="00D4572B" w:rsidP="00BE4AB9">
      <w:pPr>
        <w:tabs>
          <w:tab w:val="left" w:pos="8647"/>
        </w:tabs>
        <w:autoSpaceDE w:val="0"/>
        <w:autoSpaceDN w:val="0"/>
        <w:adjustRightInd w:val="0"/>
        <w:ind w:right="-232"/>
        <w:jc w:val="both"/>
        <w:rPr>
          <w:lang w:eastAsia="x-none"/>
        </w:rPr>
      </w:pPr>
      <w:r>
        <w:rPr>
          <w:rStyle w:val="Refdenotaalpie"/>
        </w:rPr>
        <w:footnoteRef/>
      </w:r>
      <w:r>
        <w:t xml:space="preserve"> </w:t>
      </w:r>
      <w:r>
        <w:rPr>
          <w:rFonts w:ascii="Arial" w:eastAsia="Calibri" w:hAnsi="Arial" w:cs="Arial"/>
        </w:rPr>
        <w:t xml:space="preserve">Tesis: 1a./J.159/2007, de la Primera Sala, Novena Época, publicada en el Semanario Judicial de la Federación y su Gaceta, Tomo: XXVI, </w:t>
      </w:r>
      <w:r>
        <w:rPr>
          <w:rFonts w:ascii="Arial" w:eastAsia="Calibri" w:hAnsi="Arial" w:cs="Arial"/>
        </w:rPr>
        <w:t xml:space="preserve">Diciembre de 2007, Página: 111, de rubro y texto siguientes: </w:t>
      </w:r>
      <w:r>
        <w:rPr>
          <w:rFonts w:ascii="Arial" w:hAnsi="Arial"/>
          <w:b/>
          <w:bCs/>
          <w:lang w:val="x-none" w:eastAsia="x-none"/>
        </w:rPr>
        <w:t>“SISTEMA TRIBUTARIO. SU DISEÑO SE ENCUENTRA DENTRO DEL ÁMBITO DE LIBRE CONFIGURACIÓN LEGISLATIVA, RESPETANDO LAS EXIGENCIAS CONSTITUCIONALES.</w:t>
      </w:r>
      <w:r>
        <w:rPr>
          <w:rFonts w:ascii="Arial" w:hAnsi="Arial"/>
          <w:lang w:val="x-none" w:eastAsia="x-none"/>
        </w:rPr>
        <w:t xml:space="preserve"> El texto constitucional establece que el objetivo del sistema tributario es cubrir los gastos públicos de la Federación, del Distrito Federal y de los Estados y Municipios, dentro de un marco legal que sea proporcional y equitativo, por ello se afirma que dicho sistema se integra por diversas normas, a través de las cuales se cumple con el mencionado objetivo asignado constitucionalmente. Ahora bien, la creación del citado sistema, por disposición de la Constitución Federal, está a cargo del Poder Legislativo de la Unión, 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 la vigencia del principio democrático y la reserva de ley en materia impositiva. En tal virtud, debe señalarse que el diseño del sistema tributario, a nivel de leyes, pertenece al ámbito de facultades legislativas y que, como tal, lleva aparejado un margen de configuración política -amplio, mas no ilimitado-, reconocido a los representantes de los ciudadanos para establecer el régimen legal del tributo, por lo que el hecho de que en un determinado momento los supuestos a los que recurra el legislador para fundamentar las hipótesis normativas no sean aquellos vinculados con anterioridad a las hipótesis contempladas legalmente, no resulta inconstitucional, siempre y cuando con ello no se vulneren otros principios constitucionales.”</w:t>
      </w:r>
    </w:p>
  </w:footnote>
  <w:footnote w:id="20">
    <w:p w14:paraId="5E40B9B4" w14:textId="402AE720" w:rsidR="00CF03E7" w:rsidRPr="00B45BE0" w:rsidRDefault="00CF03E7" w:rsidP="00CC4B0E">
      <w:pPr>
        <w:pStyle w:val="Textonotapie"/>
        <w:ind w:right="-232"/>
        <w:jc w:val="both"/>
        <w:rPr>
          <w:rFonts w:ascii="Arial" w:hAnsi="Arial" w:cs="Arial"/>
        </w:rPr>
      </w:pPr>
      <w:r w:rsidRPr="00B45BE0">
        <w:rPr>
          <w:rStyle w:val="Refdenotaalpie"/>
          <w:rFonts w:ascii="Arial" w:hAnsi="Arial" w:cs="Arial"/>
        </w:rPr>
        <w:footnoteRef/>
      </w:r>
      <w:r w:rsidRPr="00B45BE0">
        <w:rPr>
          <w:rFonts w:ascii="Arial" w:hAnsi="Arial" w:cs="Arial"/>
        </w:rPr>
        <w:t xml:space="preserve"> Jurisprudencia 2a./J. 88/2003,</w:t>
      </w:r>
      <w:r w:rsidR="00CC4B0E" w:rsidRPr="00B45BE0">
        <w:rPr>
          <w:rFonts w:ascii="Arial" w:hAnsi="Arial" w:cs="Arial"/>
        </w:rPr>
        <w:t xml:space="preserve"> </w:t>
      </w:r>
      <w:r w:rsidRPr="00B45BE0">
        <w:rPr>
          <w:rFonts w:ascii="Arial" w:hAnsi="Arial" w:cs="Arial"/>
        </w:rPr>
        <w:t>Segunda Sala</w:t>
      </w:r>
      <w:r w:rsidR="00CC4B0E" w:rsidRPr="00B45BE0">
        <w:rPr>
          <w:rFonts w:ascii="Arial" w:hAnsi="Arial" w:cs="Arial"/>
        </w:rPr>
        <w:t xml:space="preserve">, </w:t>
      </w:r>
      <w:r w:rsidRPr="00B45BE0">
        <w:rPr>
          <w:rFonts w:ascii="Arial" w:hAnsi="Arial" w:cs="Arial"/>
        </w:rPr>
        <w:t>Novena Época</w:t>
      </w:r>
      <w:r w:rsidR="00CC4B0E" w:rsidRPr="00B45BE0">
        <w:rPr>
          <w:rFonts w:ascii="Arial" w:hAnsi="Arial" w:cs="Arial"/>
        </w:rPr>
        <w:t xml:space="preserve">, consultable en el </w:t>
      </w:r>
      <w:r w:rsidRPr="00B45BE0">
        <w:rPr>
          <w:rFonts w:ascii="Arial" w:hAnsi="Arial" w:cs="Arial"/>
        </w:rPr>
        <w:t xml:space="preserve">Semanario Judicial de la Federación y su Gaceta. Tomo XVIII, </w:t>
      </w:r>
      <w:r w:rsidRPr="00B45BE0">
        <w:rPr>
          <w:rFonts w:ascii="Arial" w:hAnsi="Arial" w:cs="Arial"/>
        </w:rPr>
        <w:t>Octubre de 2003, página 43</w:t>
      </w:r>
      <w:r w:rsidR="00CC4B0E" w:rsidRPr="00B45BE0">
        <w:rPr>
          <w:rFonts w:ascii="Arial" w:hAnsi="Arial" w:cs="Arial"/>
        </w:rPr>
        <w:t xml:space="preserve">, de rubro y texto: </w:t>
      </w:r>
    </w:p>
    <w:p w14:paraId="06D49BFE" w14:textId="2E6D26A8" w:rsidR="00CF03E7" w:rsidRPr="00B45BE0" w:rsidRDefault="00B45BE0" w:rsidP="00CC4B0E">
      <w:pPr>
        <w:pStyle w:val="Textonotapie"/>
        <w:ind w:right="-232"/>
        <w:jc w:val="both"/>
        <w:rPr>
          <w:rFonts w:ascii="Arial" w:hAnsi="Arial" w:cs="Arial"/>
        </w:rPr>
      </w:pPr>
      <w:r>
        <w:rPr>
          <w:rFonts w:ascii="Arial" w:hAnsi="Arial" w:cs="Arial"/>
        </w:rPr>
        <w:t>“</w:t>
      </w:r>
      <w:r w:rsidR="00CF03E7" w:rsidRPr="00B45BE0">
        <w:rPr>
          <w:rFonts w:ascii="Arial" w:hAnsi="Arial" w:cs="Arial"/>
          <w:b/>
          <w:bCs/>
        </w:rPr>
        <w:t>CONCEPTOS DE VIOLACIÓN Y AGRAVIOS. SON INOPERANTES CUANDO TIENDEN A DEMOSTRAR LA INCONSTITUCIONALIDAD DE ALGÚN PRECEPTO, SUSTENTÁNDOSE EN UNA SITUACIÓN PARTICULAR O HIPOTÉTICA</w:t>
      </w:r>
      <w:r w:rsidR="00CF03E7" w:rsidRPr="00B45BE0">
        <w:rPr>
          <w:rFonts w:ascii="Arial" w:hAnsi="Arial" w:cs="Arial"/>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abstracto e impersonal de la ley.</w:t>
      </w:r>
      <w:r>
        <w:rPr>
          <w:rFonts w:ascii="Arial" w:hAnsi="Arial" w:cs="Arial"/>
        </w:rPr>
        <w:t>”</w:t>
      </w:r>
    </w:p>
  </w:footnote>
  <w:footnote w:id="21">
    <w:p w14:paraId="4EF2383E" w14:textId="77777777" w:rsidR="00D4572B" w:rsidRDefault="00D4572B" w:rsidP="00D4572B">
      <w:pPr>
        <w:pStyle w:val="Textonotapie"/>
        <w:jc w:val="both"/>
        <w:rPr>
          <w:rFonts w:ascii="Arial" w:hAnsi="Arial" w:cs="Arial"/>
        </w:rPr>
      </w:pPr>
      <w:r>
        <w:rPr>
          <w:rStyle w:val="Refdenotaalpie"/>
          <w:rFonts w:cs="Arial"/>
        </w:rPr>
        <w:footnoteRef/>
      </w:r>
      <w:r>
        <w:rPr>
          <w:rFonts w:ascii="Arial" w:hAnsi="Arial" w:cs="Arial"/>
        </w:rPr>
        <w:t xml:space="preserve"> La referencia efectuada se desprende de la tesis jurisprudencial de rubro “</w:t>
      </w:r>
      <w:r w:rsidRPr="00591833">
        <w:rPr>
          <w:rFonts w:ascii="Arial" w:hAnsi="Arial" w:cs="Arial"/>
          <w:b/>
          <w:bCs/>
        </w:rPr>
        <w:t>PROPORCIONALIDAD Y EQUIDAD TRIBUTARIAS ESTABLECIDAS EN EL ARTICULO 31, FRACCION IV, CONSTITUCIONAL</w:t>
      </w:r>
      <w:r>
        <w:rPr>
          <w:rFonts w:ascii="Arial" w:hAnsi="Arial" w:cs="Arial"/>
        </w:rPr>
        <w:t>”, establecida en la séptima época por el Pleno de la Suprema Corte de Justicia de la Nación, consultable en el Semanario Judicial de la Federación, tomo 187-192, primera parte, página 113.</w:t>
      </w:r>
    </w:p>
  </w:footnote>
  <w:footnote w:id="22">
    <w:p w14:paraId="269E8B7E" w14:textId="77777777" w:rsidR="00E73B4B" w:rsidRPr="002F766D" w:rsidRDefault="00E73B4B" w:rsidP="00D37CFB">
      <w:pPr>
        <w:pStyle w:val="Textonotapie"/>
        <w:ind w:right="-232"/>
        <w:jc w:val="both"/>
        <w:rPr>
          <w:rFonts w:ascii="Arial" w:hAnsi="Arial" w:cs="Arial"/>
        </w:rPr>
      </w:pPr>
      <w:r w:rsidRPr="002F766D">
        <w:rPr>
          <w:rStyle w:val="Refdenotaalpie"/>
          <w:rFonts w:ascii="Arial" w:hAnsi="Arial" w:cs="Arial"/>
        </w:rPr>
        <w:footnoteRef/>
      </w:r>
      <w:r w:rsidRPr="002F766D">
        <w:rPr>
          <w:rFonts w:ascii="Arial" w:hAnsi="Arial" w:cs="Arial"/>
        </w:rPr>
        <w:t xml:space="preserve"> Resulta aplicable la jurisprudencia 2a./J. 88/</w:t>
      </w:r>
      <w:r w:rsidRPr="002F766D">
        <w:rPr>
          <w:rFonts w:ascii="Arial" w:hAnsi="Arial" w:cs="Arial"/>
        </w:rPr>
        <w:t>2003  de la Segunda Sala, que esta Sala comparte, localizable en el Semanario Judicial de la Federación y su Gaceta, Tomo XVIII, Octubre de 2003,  página: 43, de contenido siguiente:</w:t>
      </w:r>
      <w:r>
        <w:rPr>
          <w:rFonts w:ascii="Arial" w:hAnsi="Arial" w:cs="Arial"/>
        </w:rPr>
        <w:t xml:space="preserve"> </w:t>
      </w:r>
      <w:r w:rsidRPr="002F766D">
        <w:rPr>
          <w:rFonts w:ascii="Arial" w:hAnsi="Arial" w:cs="Arial"/>
        </w:rPr>
        <w:t>“</w:t>
      </w:r>
      <w:r w:rsidRPr="002F766D">
        <w:rPr>
          <w:rFonts w:ascii="Arial" w:hAnsi="Arial" w:cs="Arial"/>
          <w:b/>
          <w:i/>
        </w:rPr>
        <w:t>CONCEPTOS DE VIOLACIÓN Y AGRAVIOS. SON INOPERANTES CUANDO TIENDEN A DEMOSTRAR LA INCONSTITUCIONALIDAD DE ALGÚN PRECEPTO, SUSTENTÁNDOSE EN UNA SITUACIÓN PARTICULAR O HIPOTÉTICA</w:t>
      </w:r>
      <w:r w:rsidRPr="002F766D">
        <w:rPr>
          <w:rFonts w:ascii="Arial" w:hAnsi="Arial" w:cs="Arial"/>
          <w:i/>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w:t>
      </w:r>
      <w:r>
        <w:rPr>
          <w:rFonts w:ascii="Arial" w:hAnsi="Arial" w:cs="Arial"/>
          <w:i/>
        </w:rPr>
        <w:t>bstracto e impersonal de la ley</w:t>
      </w:r>
      <w:r w:rsidRPr="002F766D">
        <w:rPr>
          <w:rFonts w:ascii="Arial" w:hAnsi="Arial" w:cs="Arial"/>
          <w:i/>
        </w:rPr>
        <w:t>”</w:t>
      </w:r>
      <w:r>
        <w:rPr>
          <w:rFonts w:ascii="Arial" w:hAnsi="Arial" w:cs="Arial"/>
          <w:i/>
        </w:rPr>
        <w:t>.</w:t>
      </w:r>
    </w:p>
  </w:footnote>
  <w:footnote w:id="23">
    <w:p w14:paraId="49895F1D" w14:textId="1055808B" w:rsidR="0015326A" w:rsidRPr="00597C2D" w:rsidRDefault="0015326A" w:rsidP="0015326A">
      <w:pPr>
        <w:pStyle w:val="Textoindependiente"/>
        <w:kinsoku w:val="0"/>
        <w:overflowPunct w:val="0"/>
        <w:spacing w:after="0"/>
        <w:ind w:right="-232"/>
        <w:contextualSpacing/>
        <w:jc w:val="both"/>
        <w:rPr>
          <w:rFonts w:ascii="Arial" w:hAnsi="Arial" w:cs="Arial"/>
        </w:rPr>
      </w:pPr>
      <w:r w:rsidRPr="00597C2D">
        <w:rPr>
          <w:rStyle w:val="Refdenotaalpie"/>
          <w:rFonts w:ascii="Arial" w:hAnsi="Arial" w:cs="Arial"/>
        </w:rPr>
        <w:footnoteRef/>
      </w:r>
      <w:r w:rsidRPr="00597C2D">
        <w:rPr>
          <w:rFonts w:ascii="Arial" w:hAnsi="Arial" w:cs="Arial"/>
        </w:rPr>
        <w:t xml:space="preserve"> </w:t>
      </w:r>
      <w:r w:rsidR="00597C2D">
        <w:rPr>
          <w:rFonts w:ascii="Arial" w:hAnsi="Arial" w:cs="Arial"/>
        </w:rPr>
        <w:t xml:space="preserve">Cfr. Exposición de Motivos </w:t>
      </w:r>
      <w:r w:rsidRPr="00597C2D">
        <w:rPr>
          <w:rFonts w:ascii="Arial" w:hAnsi="Arial" w:cs="Arial"/>
          <w:i/>
          <w:iCs/>
        </w:rPr>
        <w:t xml:space="preserve">“[…] Por otra parte, se propone a esa Soberanía excluir de esta regla a las deudas contratadas para financiar obras de infraestructura pública </w:t>
      </w:r>
      <w:r w:rsidRPr="00597C2D">
        <w:rPr>
          <w:rFonts w:ascii="Arial" w:hAnsi="Arial" w:cs="Arial"/>
          <w:b/>
          <w:bCs/>
          <w:i/>
          <w:iCs/>
          <w:u w:val="single"/>
        </w:rPr>
        <w:t>porque se ha considerado el alto endeudamiento que suelen necesitar obras de esta índole</w:t>
      </w:r>
      <w:r w:rsidRPr="00597C2D">
        <w:rPr>
          <w:rFonts w:ascii="Arial" w:hAnsi="Arial" w:cs="Arial"/>
          <w:i/>
          <w:iCs/>
        </w:rPr>
        <w:t>.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w:t>
      </w:r>
    </w:p>
  </w:footnote>
  <w:footnote w:id="24">
    <w:p w14:paraId="3D6488F3" w14:textId="77777777" w:rsidR="00D4572B" w:rsidRPr="003B627F" w:rsidRDefault="00D4572B" w:rsidP="00D37CFB">
      <w:pPr>
        <w:pStyle w:val="Prrafodelista"/>
        <w:ind w:left="0" w:right="-232"/>
        <w:jc w:val="both"/>
        <w:rPr>
          <w:rFonts w:ascii="Arial" w:hAnsi="Arial" w:cs="Arial"/>
        </w:rPr>
      </w:pPr>
      <w:r w:rsidRPr="003B627F">
        <w:rPr>
          <w:rStyle w:val="Refdenotaalpie"/>
          <w:rFonts w:ascii="Arial" w:hAnsi="Arial" w:cs="Arial"/>
        </w:rPr>
        <w:footnoteRef/>
      </w:r>
      <w:r w:rsidRPr="003B627F">
        <w:rPr>
          <w:rFonts w:ascii="Arial" w:hAnsi="Arial" w:cs="Arial"/>
        </w:rPr>
        <w:t xml:space="preserve"> El Reporte Final de la Acción 4 del Proyecto BEPS</w:t>
      </w:r>
      <w:r>
        <w:rPr>
          <w:rFonts w:ascii="Arial" w:hAnsi="Arial" w:cs="Arial"/>
        </w:rPr>
        <w:t xml:space="preserve">. Señala como medida limitar las deducciones de pagos por intereses.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1216" w14:textId="17B6B55F" w:rsidR="000724C8" w:rsidRDefault="000724C8" w:rsidP="000A1DBB">
    <w:pPr>
      <w:pStyle w:val="Encabezado"/>
      <w:tabs>
        <w:tab w:val="clear" w:pos="8504"/>
      </w:tabs>
    </w:pPr>
    <w:r>
      <w:rPr>
        <w:rFonts w:ascii="Arial" w:hAnsi="Arial" w:cs="Arial"/>
        <w:b/>
        <w:bCs/>
        <w:sz w:val="24"/>
        <w:szCs w:val="24"/>
      </w:rPr>
      <w:t xml:space="preserve">AMPARO EN REVISIÓN </w:t>
    </w:r>
    <w:r w:rsidR="00BC0175">
      <w:rPr>
        <w:rFonts w:ascii="Arial" w:hAnsi="Arial" w:cs="Arial"/>
        <w:b/>
        <w:bCs/>
        <w:sz w:val="24"/>
        <w:szCs w:val="24"/>
      </w:rPr>
      <w:t>381</w:t>
    </w:r>
    <w:r>
      <w:rPr>
        <w:rFonts w:ascii="Arial" w:hAnsi="Arial" w:cs="Arial"/>
        <w:b/>
        <w:bCs/>
        <w:sz w:val="24"/>
        <w:szCs w:val="24"/>
      </w:rPr>
      <w:t>/20</w:t>
    </w:r>
    <w:r w:rsidR="00BC0175">
      <w:rPr>
        <w:rFonts w:ascii="Arial" w:hAnsi="Arial" w:cs="Arial"/>
        <w:b/>
        <w:bCs/>
        <w:sz w:val="24"/>
        <w:szCs w:val="24"/>
      </w:rPr>
      <w:t>21</w:t>
    </w:r>
  </w:p>
  <w:p w14:paraId="45D5B3B4" w14:textId="77777777" w:rsidR="002472D7" w:rsidRDefault="00247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036C" w14:textId="005211EB" w:rsidR="00366B6D" w:rsidRDefault="00FB2BB1" w:rsidP="00366B6D">
    <w:pPr>
      <w:pStyle w:val="Encabezado"/>
      <w:tabs>
        <w:tab w:val="clear" w:pos="8504"/>
      </w:tabs>
      <w:ind w:right="-232"/>
      <w:jc w:val="right"/>
      <w:rPr>
        <w:rFonts w:ascii="Arial" w:hAnsi="Arial" w:cs="Arial"/>
        <w:b/>
        <w:sz w:val="24"/>
        <w:szCs w:val="24"/>
      </w:rPr>
    </w:pPr>
    <w:r>
      <w:rPr>
        <w:noProof/>
      </w:rPr>
      <mc:AlternateContent>
        <mc:Choice Requires="wps">
          <w:drawing>
            <wp:anchor distT="0" distB="0" distL="114300" distR="114300" simplePos="0" relativeHeight="251659264" behindDoc="1" locked="0" layoutInCell="1" allowOverlap="1" wp14:anchorId="006AD2A5" wp14:editId="1D1FC595">
              <wp:simplePos x="0" y="0"/>
              <wp:positionH relativeFrom="column">
                <wp:posOffset>0</wp:posOffset>
              </wp:positionH>
              <wp:positionV relativeFrom="paragraph">
                <wp:posOffset>174625</wp:posOffset>
              </wp:positionV>
              <wp:extent cx="2172970" cy="1958975"/>
              <wp:effectExtent l="0" t="0" r="0" b="0"/>
              <wp:wrapTight wrapText="bothSides">
                <wp:wrapPolygon edited="0">
                  <wp:start x="0" y="0"/>
                  <wp:lineTo x="0" y="21425"/>
                  <wp:lineTo x="21398" y="21425"/>
                  <wp:lineTo x="21398"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589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6B5A4" id="Rectángulo 3" o:spid="_x0000_s1026" style="position:absolute;margin-left:0;margin-top:13.75pt;width:171.1pt;height:1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" stroked="f">
              <w10:wrap type="tight"/>
            </v:rect>
          </w:pict>
        </mc:Fallback>
      </mc:AlternateContent>
    </w:r>
    <w:r w:rsidR="000724C8" w:rsidRPr="007945BB">
      <w:rPr>
        <w:rFonts w:ascii="Arial" w:hAnsi="Arial" w:cs="Arial"/>
        <w:b/>
        <w:sz w:val="24"/>
        <w:szCs w:val="24"/>
      </w:rPr>
      <w:t xml:space="preserve">AMPARO EN REVISIÓN </w:t>
    </w:r>
    <w:r w:rsidR="000724C8">
      <w:rPr>
        <w:rFonts w:ascii="Arial" w:hAnsi="Arial" w:cs="Arial"/>
        <w:b/>
        <w:sz w:val="24"/>
        <w:szCs w:val="24"/>
      </w:rPr>
      <w:t>381/2021</w:t>
    </w:r>
  </w:p>
  <w:p w14:paraId="678617D8" w14:textId="77777777" w:rsidR="00366B6D" w:rsidRPr="00366B6D" w:rsidRDefault="00366B6D" w:rsidP="00366B6D">
    <w:pPr>
      <w:pStyle w:val="Encabezado"/>
      <w:tabs>
        <w:tab w:val="clear" w:pos="8504"/>
      </w:tabs>
      <w:ind w:right="252"/>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889"/>
    <w:multiLevelType w:val="hybridMultilevel"/>
    <w:tmpl w:val="3894E1BA"/>
    <w:lvl w:ilvl="0" w:tplc="080A000B">
      <w:start w:val="1"/>
      <w:numFmt w:val="bullet"/>
      <w:lvlText w:val=""/>
      <w:lvlJc w:val="left"/>
      <w:pPr>
        <w:ind w:left="7307" w:hanging="360"/>
      </w:pPr>
      <w:rPr>
        <w:rFonts w:ascii="Wingdings" w:hAnsi="Wingdings" w:hint="default"/>
      </w:rPr>
    </w:lvl>
    <w:lvl w:ilvl="1" w:tplc="080A0003">
      <w:start w:val="1"/>
      <w:numFmt w:val="bullet"/>
      <w:lvlText w:val="o"/>
      <w:lvlJc w:val="left"/>
      <w:pPr>
        <w:ind w:left="7884" w:hanging="360"/>
      </w:pPr>
      <w:rPr>
        <w:rFonts w:ascii="Courier New" w:hAnsi="Courier New" w:cs="Courier New" w:hint="default"/>
      </w:rPr>
    </w:lvl>
    <w:lvl w:ilvl="2" w:tplc="080A0005" w:tentative="1">
      <w:start w:val="1"/>
      <w:numFmt w:val="bullet"/>
      <w:lvlText w:val=""/>
      <w:lvlJc w:val="left"/>
      <w:pPr>
        <w:ind w:left="8604" w:hanging="360"/>
      </w:pPr>
      <w:rPr>
        <w:rFonts w:ascii="Wingdings" w:hAnsi="Wingdings" w:hint="default"/>
      </w:rPr>
    </w:lvl>
    <w:lvl w:ilvl="3" w:tplc="080A0001" w:tentative="1">
      <w:start w:val="1"/>
      <w:numFmt w:val="bullet"/>
      <w:lvlText w:val=""/>
      <w:lvlJc w:val="left"/>
      <w:pPr>
        <w:ind w:left="9324" w:hanging="360"/>
      </w:pPr>
      <w:rPr>
        <w:rFonts w:ascii="Symbol" w:hAnsi="Symbol" w:hint="default"/>
      </w:rPr>
    </w:lvl>
    <w:lvl w:ilvl="4" w:tplc="080A0003" w:tentative="1">
      <w:start w:val="1"/>
      <w:numFmt w:val="bullet"/>
      <w:lvlText w:val="o"/>
      <w:lvlJc w:val="left"/>
      <w:pPr>
        <w:ind w:left="10044" w:hanging="360"/>
      </w:pPr>
      <w:rPr>
        <w:rFonts w:ascii="Courier New" w:hAnsi="Courier New" w:cs="Courier New" w:hint="default"/>
      </w:rPr>
    </w:lvl>
    <w:lvl w:ilvl="5" w:tplc="080A0005" w:tentative="1">
      <w:start w:val="1"/>
      <w:numFmt w:val="bullet"/>
      <w:lvlText w:val=""/>
      <w:lvlJc w:val="left"/>
      <w:pPr>
        <w:ind w:left="10764" w:hanging="360"/>
      </w:pPr>
      <w:rPr>
        <w:rFonts w:ascii="Wingdings" w:hAnsi="Wingdings" w:hint="default"/>
      </w:rPr>
    </w:lvl>
    <w:lvl w:ilvl="6" w:tplc="080A0001" w:tentative="1">
      <w:start w:val="1"/>
      <w:numFmt w:val="bullet"/>
      <w:lvlText w:val=""/>
      <w:lvlJc w:val="left"/>
      <w:pPr>
        <w:ind w:left="11484" w:hanging="360"/>
      </w:pPr>
      <w:rPr>
        <w:rFonts w:ascii="Symbol" w:hAnsi="Symbol" w:hint="default"/>
      </w:rPr>
    </w:lvl>
    <w:lvl w:ilvl="7" w:tplc="080A0003" w:tentative="1">
      <w:start w:val="1"/>
      <w:numFmt w:val="bullet"/>
      <w:lvlText w:val="o"/>
      <w:lvlJc w:val="left"/>
      <w:pPr>
        <w:ind w:left="12204" w:hanging="360"/>
      </w:pPr>
      <w:rPr>
        <w:rFonts w:ascii="Courier New" w:hAnsi="Courier New" w:cs="Courier New" w:hint="default"/>
      </w:rPr>
    </w:lvl>
    <w:lvl w:ilvl="8" w:tplc="080A0005" w:tentative="1">
      <w:start w:val="1"/>
      <w:numFmt w:val="bullet"/>
      <w:lvlText w:val=""/>
      <w:lvlJc w:val="left"/>
      <w:pPr>
        <w:ind w:left="12924" w:hanging="360"/>
      </w:pPr>
      <w:rPr>
        <w:rFonts w:ascii="Wingdings" w:hAnsi="Wingdings" w:hint="default"/>
      </w:rPr>
    </w:lvl>
  </w:abstractNum>
  <w:abstractNum w:abstractNumId="1" w15:restartNumberingAfterBreak="0">
    <w:nsid w:val="0E9E7F68"/>
    <w:multiLevelType w:val="hybridMultilevel"/>
    <w:tmpl w:val="0EAEACD6"/>
    <w:lvl w:ilvl="0" w:tplc="10AC0C7E">
      <w:start w:val="1"/>
      <w:numFmt w:val="decimal"/>
      <w:lvlText w:val="%1."/>
      <w:lvlJc w:val="left"/>
      <w:pPr>
        <w:ind w:left="720" w:hanging="360"/>
      </w:pPr>
      <w:rPr>
        <w:rFonts w:ascii="Arial" w:hAnsi="Arial" w:cs="Arial" w:hint="default"/>
        <w:b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16E8F"/>
    <w:multiLevelType w:val="hybridMultilevel"/>
    <w:tmpl w:val="25E403DC"/>
    <w:lvl w:ilvl="0" w:tplc="FFFFFFFF">
      <w:start w:val="1"/>
      <w:numFmt w:val="bullet"/>
      <w:lvlText w:val=""/>
      <w:lvlJc w:val="left"/>
      <w:pPr>
        <w:ind w:left="1429" w:hanging="360"/>
      </w:pPr>
      <w:rPr>
        <w:rFonts w:ascii="Symbol" w:hAnsi="Symbol" w:hint="default"/>
        <w:lang w:val="es-MX"/>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 w15:restartNumberingAfterBreak="0">
    <w:nsid w:val="11B33BB4"/>
    <w:multiLevelType w:val="hybridMultilevel"/>
    <w:tmpl w:val="47B418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67672B4"/>
    <w:multiLevelType w:val="multilevel"/>
    <w:tmpl w:val="C19027B2"/>
    <w:lvl w:ilvl="0">
      <w:start w:val="1"/>
      <w:numFmt w:val="decimal"/>
      <w:lvlText w:val="%1."/>
      <w:lvlJc w:val="left"/>
      <w:pPr>
        <w:ind w:left="360" w:hanging="360"/>
      </w:pPr>
      <w:rPr>
        <w:rFonts w:ascii="Arial" w:hAnsi="Arial" w:cs="Arial" w:hint="default"/>
        <w:b w:val="0"/>
        <w:i w:val="0"/>
        <w:color w:val="auto"/>
        <w:sz w:val="28"/>
        <w:szCs w:val="28"/>
        <w:lang w:val="es-ES_tradnl"/>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6B43541"/>
    <w:multiLevelType w:val="hybridMultilevel"/>
    <w:tmpl w:val="FAF2B972"/>
    <w:lvl w:ilvl="0" w:tplc="F0661EBE">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68235C"/>
    <w:multiLevelType w:val="hybridMultilevel"/>
    <w:tmpl w:val="E0F48F82"/>
    <w:lvl w:ilvl="0" w:tplc="3DEE561C">
      <w:start w:val="7"/>
      <w:numFmt w:val="bullet"/>
      <w:lvlText w:val=""/>
      <w:lvlJc w:val="left"/>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4D7823"/>
    <w:multiLevelType w:val="hybridMultilevel"/>
    <w:tmpl w:val="15B293DC"/>
    <w:lvl w:ilvl="0" w:tplc="FFFFFFFF">
      <w:start w:val="1"/>
      <w:numFmt w:val="upperRoman"/>
      <w:lvlText w:val="%1."/>
      <w:lvlJc w:val="right"/>
      <w:pPr>
        <w:ind w:left="475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15:restartNumberingAfterBreak="0">
    <w:nsid w:val="1A073309"/>
    <w:multiLevelType w:val="hybridMultilevel"/>
    <w:tmpl w:val="09AA0DA6"/>
    <w:lvl w:ilvl="0" w:tplc="1DACC20A">
      <w:start w:val="1"/>
      <w:numFmt w:val="decimal"/>
      <w:lvlText w:val="%1."/>
      <w:lvlJc w:val="left"/>
      <w:pPr>
        <w:ind w:left="4897" w:hanging="360"/>
      </w:pPr>
      <w:rPr>
        <w:rFonts w:ascii="Arial" w:hAnsi="Arial" w:cs="Arial" w:hint="default"/>
        <w:b w:val="0"/>
        <w:bCs/>
        <w:i w:val="0"/>
        <w:iCs/>
        <w:color w:val="000000" w:themeColor="text1"/>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BE2A7A"/>
    <w:multiLevelType w:val="hybridMultilevel"/>
    <w:tmpl w:val="FEF82B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41B0E"/>
    <w:multiLevelType w:val="hybridMultilevel"/>
    <w:tmpl w:val="22546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A0B9B"/>
    <w:multiLevelType w:val="hybridMultilevel"/>
    <w:tmpl w:val="97F4D29A"/>
    <w:lvl w:ilvl="0" w:tplc="30B89394">
      <w:start w:val="1"/>
      <w:numFmt w:val="decimal"/>
      <w:lvlText w:val="%1."/>
      <w:lvlJc w:val="left"/>
      <w:pPr>
        <w:ind w:left="1776" w:hanging="360"/>
      </w:pPr>
      <w:rPr>
        <w:rFonts w:ascii="Arial" w:hAnsi="Arial" w:cs="Arial" w:hint="default"/>
        <w:b w:val="0"/>
        <w:i w:val="0"/>
        <w:color w:val="auto"/>
        <w:sz w:val="26"/>
        <w:szCs w:val="26"/>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2010BA7"/>
    <w:multiLevelType w:val="hybridMultilevel"/>
    <w:tmpl w:val="ECB20BD8"/>
    <w:lvl w:ilvl="0" w:tplc="70E46854">
      <w:start w:val="1"/>
      <w:numFmt w:val="decimal"/>
      <w:lvlText w:val="%1."/>
      <w:lvlJc w:val="left"/>
      <w:pPr>
        <w:ind w:left="927" w:hanging="360"/>
      </w:pPr>
      <w:rPr>
        <w:rFonts w:hint="default"/>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5A20D7"/>
    <w:multiLevelType w:val="hybridMultilevel"/>
    <w:tmpl w:val="8C54DB36"/>
    <w:lvl w:ilvl="0" w:tplc="96C21A7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848FA"/>
    <w:multiLevelType w:val="hybridMultilevel"/>
    <w:tmpl w:val="B8F88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E12F91"/>
    <w:multiLevelType w:val="hybridMultilevel"/>
    <w:tmpl w:val="30661820"/>
    <w:lvl w:ilvl="0" w:tplc="080A0001">
      <w:start w:val="1"/>
      <w:numFmt w:val="bullet"/>
      <w:lvlText w:val=""/>
      <w:lvlJc w:val="left"/>
      <w:pPr>
        <w:ind w:left="546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D18ED"/>
    <w:multiLevelType w:val="hybridMultilevel"/>
    <w:tmpl w:val="B412BD92"/>
    <w:lvl w:ilvl="0" w:tplc="07DCC1A0">
      <w:start w:val="1"/>
      <w:numFmt w:val="decimal"/>
      <w:lvlText w:val="%1."/>
      <w:lvlJc w:val="left"/>
      <w:pPr>
        <w:ind w:left="5322" w:hanging="360"/>
      </w:pPr>
      <w:rPr>
        <w:rFonts w:ascii="Arial" w:hAnsi="Arial" w:cs="Arial" w:hint="default"/>
        <w:b w:val="0"/>
        <w:i w:val="0"/>
        <w:color w:val="auto"/>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1330C"/>
    <w:multiLevelType w:val="hybridMultilevel"/>
    <w:tmpl w:val="5C522CD8"/>
    <w:lvl w:ilvl="0" w:tplc="2BB2B568">
      <w:start w:val="1"/>
      <w:numFmt w:val="decimal"/>
      <w:lvlText w:val="%1."/>
      <w:lvlJc w:val="left"/>
      <w:pPr>
        <w:ind w:left="-207" w:hanging="360"/>
      </w:pPr>
      <w:rPr>
        <w:rFonts w:hint="default"/>
        <w:b w:val="0"/>
        <w:i w:val="0"/>
        <w:sz w:val="24"/>
        <w:szCs w:val="24"/>
      </w:rPr>
    </w:lvl>
    <w:lvl w:ilvl="1" w:tplc="B178DA92">
      <w:start w:val="1"/>
      <w:numFmt w:val="lowerLetter"/>
      <w:lvlText w:val="%2."/>
      <w:lvlJc w:val="left"/>
      <w:pPr>
        <w:ind w:left="513" w:hanging="360"/>
      </w:pPr>
      <w:rPr>
        <w:b/>
      </w:r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381461E"/>
    <w:multiLevelType w:val="hybridMultilevel"/>
    <w:tmpl w:val="6E482A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9F1F1B"/>
    <w:multiLevelType w:val="hybridMultilevel"/>
    <w:tmpl w:val="15B293DC"/>
    <w:lvl w:ilvl="0" w:tplc="080A0013">
      <w:start w:val="1"/>
      <w:numFmt w:val="upperRoman"/>
      <w:lvlText w:val="%1."/>
      <w:lvlJc w:val="right"/>
      <w:pPr>
        <w:ind w:left="475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C75684"/>
    <w:multiLevelType w:val="hybridMultilevel"/>
    <w:tmpl w:val="86F29AF0"/>
    <w:lvl w:ilvl="0" w:tplc="E34C9DAE">
      <w:start w:val="1"/>
      <w:numFmt w:val="decimal"/>
      <w:lvlText w:val="%1."/>
      <w:lvlJc w:val="left"/>
      <w:pPr>
        <w:ind w:left="786" w:hanging="360"/>
      </w:pPr>
      <w:rPr>
        <w:rFonts w:ascii="Arial" w:eastAsia="Times New Roman" w:hAnsi="Arial" w:cs="Arial"/>
        <w:b w:val="0"/>
        <w:bCs/>
        <w:i w:val="0"/>
        <w:i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363700"/>
    <w:multiLevelType w:val="hybridMultilevel"/>
    <w:tmpl w:val="A42A5812"/>
    <w:lvl w:ilvl="0" w:tplc="DC10EFBC">
      <w:start w:val="1"/>
      <w:numFmt w:val="decimal"/>
      <w:lvlText w:val="%1."/>
      <w:lvlJc w:val="left"/>
      <w:pPr>
        <w:ind w:left="430" w:hanging="43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15:restartNumberingAfterBreak="0">
    <w:nsid w:val="67A03901"/>
    <w:multiLevelType w:val="hybridMultilevel"/>
    <w:tmpl w:val="13D06C7A"/>
    <w:lvl w:ilvl="0" w:tplc="FFFFFFFF">
      <w:start w:val="1"/>
      <w:numFmt w:val="decimal"/>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D483F"/>
    <w:multiLevelType w:val="hybridMultilevel"/>
    <w:tmpl w:val="AD448D04"/>
    <w:lvl w:ilvl="0" w:tplc="FEA22092">
      <w:start w:val="1"/>
      <w:numFmt w:val="upperRoman"/>
      <w:lvlText w:val="%1."/>
      <w:lvlJc w:val="left"/>
      <w:pPr>
        <w:ind w:left="7383"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B71027"/>
    <w:multiLevelType w:val="multilevel"/>
    <w:tmpl w:val="90B612B0"/>
    <w:lvl w:ilvl="0">
      <w:start w:val="85"/>
      <w:numFmt w:val="decimal"/>
      <w:lvlText w:val="%1."/>
      <w:lvlJc w:val="left"/>
      <w:pPr>
        <w:ind w:left="360" w:hanging="360"/>
      </w:pPr>
      <w:rPr>
        <w:rFonts w:ascii="Arial" w:hAnsi="Arial" w:cs="Arial" w:hint="default"/>
        <w:b/>
        <w:bCs/>
        <w:i w:val="0"/>
        <w:color w:val="auto"/>
        <w:sz w:val="28"/>
        <w:szCs w:val="28"/>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0B646DB"/>
    <w:multiLevelType w:val="hybridMultilevel"/>
    <w:tmpl w:val="21727674"/>
    <w:lvl w:ilvl="0" w:tplc="080A0001">
      <w:start w:val="1"/>
      <w:numFmt w:val="bullet"/>
      <w:lvlText w:val=""/>
      <w:lvlJc w:val="left"/>
      <w:pPr>
        <w:ind w:left="7307" w:hanging="360"/>
      </w:pPr>
      <w:rPr>
        <w:rFonts w:ascii="Symbol" w:hAnsi="Symbol" w:hint="default"/>
      </w:rPr>
    </w:lvl>
    <w:lvl w:ilvl="1" w:tplc="FFFFFFFF">
      <w:start w:val="1"/>
      <w:numFmt w:val="bullet"/>
      <w:lvlText w:val="o"/>
      <w:lvlJc w:val="left"/>
      <w:pPr>
        <w:ind w:left="7884" w:hanging="360"/>
      </w:pPr>
      <w:rPr>
        <w:rFonts w:ascii="Courier New" w:hAnsi="Courier New" w:cs="Courier New" w:hint="default"/>
      </w:rPr>
    </w:lvl>
    <w:lvl w:ilvl="2" w:tplc="FFFFFFFF" w:tentative="1">
      <w:start w:val="1"/>
      <w:numFmt w:val="bullet"/>
      <w:lvlText w:val=""/>
      <w:lvlJc w:val="left"/>
      <w:pPr>
        <w:ind w:left="8604" w:hanging="360"/>
      </w:pPr>
      <w:rPr>
        <w:rFonts w:ascii="Wingdings" w:hAnsi="Wingdings" w:hint="default"/>
      </w:rPr>
    </w:lvl>
    <w:lvl w:ilvl="3" w:tplc="FFFFFFFF" w:tentative="1">
      <w:start w:val="1"/>
      <w:numFmt w:val="bullet"/>
      <w:lvlText w:val=""/>
      <w:lvlJc w:val="left"/>
      <w:pPr>
        <w:ind w:left="9324" w:hanging="360"/>
      </w:pPr>
      <w:rPr>
        <w:rFonts w:ascii="Symbol" w:hAnsi="Symbol" w:hint="default"/>
      </w:rPr>
    </w:lvl>
    <w:lvl w:ilvl="4" w:tplc="FFFFFFFF" w:tentative="1">
      <w:start w:val="1"/>
      <w:numFmt w:val="bullet"/>
      <w:lvlText w:val="o"/>
      <w:lvlJc w:val="left"/>
      <w:pPr>
        <w:ind w:left="10044" w:hanging="360"/>
      </w:pPr>
      <w:rPr>
        <w:rFonts w:ascii="Courier New" w:hAnsi="Courier New" w:cs="Courier New" w:hint="default"/>
      </w:rPr>
    </w:lvl>
    <w:lvl w:ilvl="5" w:tplc="FFFFFFFF" w:tentative="1">
      <w:start w:val="1"/>
      <w:numFmt w:val="bullet"/>
      <w:lvlText w:val=""/>
      <w:lvlJc w:val="left"/>
      <w:pPr>
        <w:ind w:left="10764" w:hanging="360"/>
      </w:pPr>
      <w:rPr>
        <w:rFonts w:ascii="Wingdings" w:hAnsi="Wingdings" w:hint="default"/>
      </w:rPr>
    </w:lvl>
    <w:lvl w:ilvl="6" w:tplc="FFFFFFFF" w:tentative="1">
      <w:start w:val="1"/>
      <w:numFmt w:val="bullet"/>
      <w:lvlText w:val=""/>
      <w:lvlJc w:val="left"/>
      <w:pPr>
        <w:ind w:left="11484" w:hanging="360"/>
      </w:pPr>
      <w:rPr>
        <w:rFonts w:ascii="Symbol" w:hAnsi="Symbol" w:hint="default"/>
      </w:rPr>
    </w:lvl>
    <w:lvl w:ilvl="7" w:tplc="FFFFFFFF" w:tentative="1">
      <w:start w:val="1"/>
      <w:numFmt w:val="bullet"/>
      <w:lvlText w:val="o"/>
      <w:lvlJc w:val="left"/>
      <w:pPr>
        <w:ind w:left="12204" w:hanging="360"/>
      </w:pPr>
      <w:rPr>
        <w:rFonts w:ascii="Courier New" w:hAnsi="Courier New" w:cs="Courier New" w:hint="default"/>
      </w:rPr>
    </w:lvl>
    <w:lvl w:ilvl="8" w:tplc="FFFFFFFF" w:tentative="1">
      <w:start w:val="1"/>
      <w:numFmt w:val="bullet"/>
      <w:lvlText w:val=""/>
      <w:lvlJc w:val="left"/>
      <w:pPr>
        <w:ind w:left="12924" w:hanging="360"/>
      </w:pPr>
      <w:rPr>
        <w:rFonts w:ascii="Wingdings" w:hAnsi="Wingdings" w:hint="default"/>
      </w:rPr>
    </w:lvl>
  </w:abstractNum>
  <w:abstractNum w:abstractNumId="29" w15:restartNumberingAfterBreak="0">
    <w:nsid w:val="734D1859"/>
    <w:multiLevelType w:val="hybridMultilevel"/>
    <w:tmpl w:val="77100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FB77F1"/>
    <w:multiLevelType w:val="hybridMultilevel"/>
    <w:tmpl w:val="488A239C"/>
    <w:lvl w:ilvl="0" w:tplc="3A1489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E845E7A"/>
    <w:multiLevelType w:val="hybridMultilevel"/>
    <w:tmpl w:val="E4E019A4"/>
    <w:lvl w:ilvl="0" w:tplc="A9A6E388">
      <w:start w:val="1"/>
      <w:numFmt w:val="decimal"/>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4790923">
    <w:abstractNumId w:val="13"/>
  </w:num>
  <w:num w:numId="2" w16cid:durableId="1707683303">
    <w:abstractNumId w:val="20"/>
  </w:num>
  <w:num w:numId="3" w16cid:durableId="1009018579">
    <w:abstractNumId w:val="26"/>
  </w:num>
  <w:num w:numId="4" w16cid:durableId="607348840">
    <w:abstractNumId w:val="21"/>
  </w:num>
  <w:num w:numId="5" w16cid:durableId="826365613">
    <w:abstractNumId w:val="22"/>
  </w:num>
  <w:num w:numId="6" w16cid:durableId="514538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468">
    <w:abstractNumId w:val="1"/>
  </w:num>
  <w:num w:numId="8" w16cid:durableId="632978862">
    <w:abstractNumId w:val="6"/>
  </w:num>
  <w:num w:numId="9" w16cid:durableId="646478287">
    <w:abstractNumId w:val="8"/>
  </w:num>
  <w:num w:numId="10" w16cid:durableId="681931744">
    <w:abstractNumId w:val="9"/>
  </w:num>
  <w:num w:numId="11" w16cid:durableId="99899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444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038771">
    <w:abstractNumId w:val="15"/>
  </w:num>
  <w:num w:numId="14" w16cid:durableId="1265961885">
    <w:abstractNumId w:val="27"/>
  </w:num>
  <w:num w:numId="15" w16cid:durableId="1005985035">
    <w:abstractNumId w:val="11"/>
  </w:num>
  <w:num w:numId="16" w16cid:durableId="427579089">
    <w:abstractNumId w:val="16"/>
  </w:num>
  <w:num w:numId="17" w16cid:durableId="1429885289">
    <w:abstractNumId w:val="4"/>
  </w:num>
  <w:num w:numId="18" w16cid:durableId="112679707">
    <w:abstractNumId w:val="24"/>
  </w:num>
  <w:num w:numId="19" w16cid:durableId="1602448090">
    <w:abstractNumId w:val="18"/>
  </w:num>
  <w:num w:numId="20" w16cid:durableId="1675691990">
    <w:abstractNumId w:val="30"/>
  </w:num>
  <w:num w:numId="21" w16cid:durableId="996690349">
    <w:abstractNumId w:val="5"/>
  </w:num>
  <w:num w:numId="22" w16cid:durableId="725685837">
    <w:abstractNumId w:val="31"/>
  </w:num>
  <w:num w:numId="23" w16cid:durableId="2014674178">
    <w:abstractNumId w:val="17"/>
  </w:num>
  <w:num w:numId="24" w16cid:durableId="253129062">
    <w:abstractNumId w:val="25"/>
  </w:num>
  <w:num w:numId="25" w16cid:durableId="1779131228">
    <w:abstractNumId w:val="12"/>
  </w:num>
  <w:num w:numId="26" w16cid:durableId="21589128">
    <w:abstractNumId w:val="2"/>
  </w:num>
  <w:num w:numId="27" w16cid:durableId="1944605335">
    <w:abstractNumId w:val="0"/>
  </w:num>
  <w:num w:numId="28" w16cid:durableId="899824979">
    <w:abstractNumId w:val="28"/>
  </w:num>
  <w:num w:numId="29" w16cid:durableId="1817452696">
    <w:abstractNumId w:val="29"/>
  </w:num>
  <w:num w:numId="30" w16cid:durableId="820846819">
    <w:abstractNumId w:val="19"/>
  </w:num>
  <w:num w:numId="31" w16cid:durableId="1726294295">
    <w:abstractNumId w:val="3"/>
  </w:num>
  <w:num w:numId="32" w16cid:durableId="413092247">
    <w:abstractNumId w:val="10"/>
  </w:num>
  <w:num w:numId="33" w16cid:durableId="1498157361">
    <w:abstractNumId w:val="14"/>
  </w:num>
  <w:num w:numId="34" w16cid:durableId="908609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752539">
    <w:abstractNumId w:val="0"/>
  </w:num>
  <w:num w:numId="36" w16cid:durableId="278729560">
    <w:abstractNumId w:val="2"/>
  </w:num>
  <w:num w:numId="37" w16cid:durableId="75459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C8"/>
    <w:rsid w:val="00000B91"/>
    <w:rsid w:val="00000ECF"/>
    <w:rsid w:val="00000FD1"/>
    <w:rsid w:val="00001139"/>
    <w:rsid w:val="00001A88"/>
    <w:rsid w:val="00001BDF"/>
    <w:rsid w:val="00002D26"/>
    <w:rsid w:val="00004076"/>
    <w:rsid w:val="00004DB1"/>
    <w:rsid w:val="0000559A"/>
    <w:rsid w:val="000071A6"/>
    <w:rsid w:val="00007664"/>
    <w:rsid w:val="0000795B"/>
    <w:rsid w:val="00011C2A"/>
    <w:rsid w:val="000123EE"/>
    <w:rsid w:val="00012B44"/>
    <w:rsid w:val="00014BB0"/>
    <w:rsid w:val="00017321"/>
    <w:rsid w:val="0002047F"/>
    <w:rsid w:val="000207E9"/>
    <w:rsid w:val="00021E5D"/>
    <w:rsid w:val="00025DEB"/>
    <w:rsid w:val="000275DA"/>
    <w:rsid w:val="00027C34"/>
    <w:rsid w:val="00030DA6"/>
    <w:rsid w:val="0003290F"/>
    <w:rsid w:val="00035237"/>
    <w:rsid w:val="00037B2A"/>
    <w:rsid w:val="00040FB4"/>
    <w:rsid w:val="00042647"/>
    <w:rsid w:val="00042E1C"/>
    <w:rsid w:val="000445BA"/>
    <w:rsid w:val="00046402"/>
    <w:rsid w:val="00055937"/>
    <w:rsid w:val="0005708C"/>
    <w:rsid w:val="000608DF"/>
    <w:rsid w:val="00060E8A"/>
    <w:rsid w:val="000654BC"/>
    <w:rsid w:val="00070673"/>
    <w:rsid w:val="000724C8"/>
    <w:rsid w:val="00075B76"/>
    <w:rsid w:val="0007663C"/>
    <w:rsid w:val="00076A3F"/>
    <w:rsid w:val="00077239"/>
    <w:rsid w:val="0007763C"/>
    <w:rsid w:val="00077FEE"/>
    <w:rsid w:val="0008008F"/>
    <w:rsid w:val="000826D3"/>
    <w:rsid w:val="00083B95"/>
    <w:rsid w:val="0008627B"/>
    <w:rsid w:val="00086FE1"/>
    <w:rsid w:val="00093037"/>
    <w:rsid w:val="000930A8"/>
    <w:rsid w:val="000938FB"/>
    <w:rsid w:val="00094366"/>
    <w:rsid w:val="000943FD"/>
    <w:rsid w:val="00095BC5"/>
    <w:rsid w:val="0009602F"/>
    <w:rsid w:val="000A1C90"/>
    <w:rsid w:val="000A2AC7"/>
    <w:rsid w:val="000A39D1"/>
    <w:rsid w:val="000A4946"/>
    <w:rsid w:val="000A5088"/>
    <w:rsid w:val="000A50A2"/>
    <w:rsid w:val="000A5955"/>
    <w:rsid w:val="000A7186"/>
    <w:rsid w:val="000B0CCE"/>
    <w:rsid w:val="000B1B62"/>
    <w:rsid w:val="000B4EB9"/>
    <w:rsid w:val="000B561B"/>
    <w:rsid w:val="000C008B"/>
    <w:rsid w:val="000C01A4"/>
    <w:rsid w:val="000C37BA"/>
    <w:rsid w:val="000C4075"/>
    <w:rsid w:val="000C4301"/>
    <w:rsid w:val="000C5309"/>
    <w:rsid w:val="000C58A8"/>
    <w:rsid w:val="000C5D05"/>
    <w:rsid w:val="000D4AD8"/>
    <w:rsid w:val="000E1816"/>
    <w:rsid w:val="000E59A2"/>
    <w:rsid w:val="000E6203"/>
    <w:rsid w:val="000E6D62"/>
    <w:rsid w:val="000E6EDE"/>
    <w:rsid w:val="000F0C64"/>
    <w:rsid w:val="000F0D9C"/>
    <w:rsid w:val="000F22DF"/>
    <w:rsid w:val="000F2664"/>
    <w:rsid w:val="000F26A5"/>
    <w:rsid w:val="000F4EDE"/>
    <w:rsid w:val="000F55BA"/>
    <w:rsid w:val="001006F4"/>
    <w:rsid w:val="00102FDD"/>
    <w:rsid w:val="00104C5A"/>
    <w:rsid w:val="00104EEA"/>
    <w:rsid w:val="00106710"/>
    <w:rsid w:val="00115C7E"/>
    <w:rsid w:val="00120E7F"/>
    <w:rsid w:val="00121C02"/>
    <w:rsid w:val="001259BD"/>
    <w:rsid w:val="00130FC9"/>
    <w:rsid w:val="00133DBA"/>
    <w:rsid w:val="001442CB"/>
    <w:rsid w:val="00144D07"/>
    <w:rsid w:val="0015326A"/>
    <w:rsid w:val="001547CF"/>
    <w:rsid w:val="00154BCF"/>
    <w:rsid w:val="001559D7"/>
    <w:rsid w:val="00162500"/>
    <w:rsid w:val="00170D80"/>
    <w:rsid w:val="00171EB7"/>
    <w:rsid w:val="00173146"/>
    <w:rsid w:val="001762A0"/>
    <w:rsid w:val="00176E9F"/>
    <w:rsid w:val="00183DA2"/>
    <w:rsid w:val="00185391"/>
    <w:rsid w:val="00190CCF"/>
    <w:rsid w:val="00192B6E"/>
    <w:rsid w:val="001946AE"/>
    <w:rsid w:val="00194F13"/>
    <w:rsid w:val="001964DE"/>
    <w:rsid w:val="00197AA3"/>
    <w:rsid w:val="00197AEA"/>
    <w:rsid w:val="001A03CE"/>
    <w:rsid w:val="001A1991"/>
    <w:rsid w:val="001A19BB"/>
    <w:rsid w:val="001B4414"/>
    <w:rsid w:val="001B45EA"/>
    <w:rsid w:val="001B5DF8"/>
    <w:rsid w:val="001C1A0D"/>
    <w:rsid w:val="001C398E"/>
    <w:rsid w:val="001C44B3"/>
    <w:rsid w:val="001D1B9E"/>
    <w:rsid w:val="001D522A"/>
    <w:rsid w:val="001D6E45"/>
    <w:rsid w:val="001D71E3"/>
    <w:rsid w:val="001D723F"/>
    <w:rsid w:val="001D73FA"/>
    <w:rsid w:val="001D7464"/>
    <w:rsid w:val="001E0851"/>
    <w:rsid w:val="001E0868"/>
    <w:rsid w:val="001E087C"/>
    <w:rsid w:val="001E2770"/>
    <w:rsid w:val="001E308B"/>
    <w:rsid w:val="001E3447"/>
    <w:rsid w:val="001E63E0"/>
    <w:rsid w:val="001E7B58"/>
    <w:rsid w:val="001F3C66"/>
    <w:rsid w:val="001F743E"/>
    <w:rsid w:val="00201263"/>
    <w:rsid w:val="00201DE6"/>
    <w:rsid w:val="00204794"/>
    <w:rsid w:val="0020571D"/>
    <w:rsid w:val="00206C54"/>
    <w:rsid w:val="002072E2"/>
    <w:rsid w:val="00207B40"/>
    <w:rsid w:val="0021472A"/>
    <w:rsid w:val="00222CCC"/>
    <w:rsid w:val="00227581"/>
    <w:rsid w:val="002276B3"/>
    <w:rsid w:val="00227D03"/>
    <w:rsid w:val="00227F06"/>
    <w:rsid w:val="00231DA9"/>
    <w:rsid w:val="0023221E"/>
    <w:rsid w:val="00233256"/>
    <w:rsid w:val="00234AB3"/>
    <w:rsid w:val="0023652B"/>
    <w:rsid w:val="002411CD"/>
    <w:rsid w:val="002447C8"/>
    <w:rsid w:val="00244851"/>
    <w:rsid w:val="002472D7"/>
    <w:rsid w:val="0024746C"/>
    <w:rsid w:val="0025026D"/>
    <w:rsid w:val="00255065"/>
    <w:rsid w:val="002558A0"/>
    <w:rsid w:val="00260B4C"/>
    <w:rsid w:val="00265D8C"/>
    <w:rsid w:val="002732C7"/>
    <w:rsid w:val="00273D48"/>
    <w:rsid w:val="002746BB"/>
    <w:rsid w:val="00276B81"/>
    <w:rsid w:val="0027710B"/>
    <w:rsid w:val="002771B2"/>
    <w:rsid w:val="00277843"/>
    <w:rsid w:val="00280ED1"/>
    <w:rsid w:val="002812AC"/>
    <w:rsid w:val="002822E6"/>
    <w:rsid w:val="0029088F"/>
    <w:rsid w:val="00290D71"/>
    <w:rsid w:val="0029123C"/>
    <w:rsid w:val="002959AB"/>
    <w:rsid w:val="002977C9"/>
    <w:rsid w:val="00297C27"/>
    <w:rsid w:val="002A1663"/>
    <w:rsid w:val="002A545A"/>
    <w:rsid w:val="002A6813"/>
    <w:rsid w:val="002B009A"/>
    <w:rsid w:val="002B0AD2"/>
    <w:rsid w:val="002B26EF"/>
    <w:rsid w:val="002B3D51"/>
    <w:rsid w:val="002C0C8F"/>
    <w:rsid w:val="002C0E23"/>
    <w:rsid w:val="002C4233"/>
    <w:rsid w:val="002C4E73"/>
    <w:rsid w:val="002D1247"/>
    <w:rsid w:val="002D15D5"/>
    <w:rsid w:val="002D4339"/>
    <w:rsid w:val="002D7919"/>
    <w:rsid w:val="002E193F"/>
    <w:rsid w:val="002E3581"/>
    <w:rsid w:val="002E4924"/>
    <w:rsid w:val="002E5DDC"/>
    <w:rsid w:val="002E6612"/>
    <w:rsid w:val="00302883"/>
    <w:rsid w:val="00312E5A"/>
    <w:rsid w:val="0031498F"/>
    <w:rsid w:val="00322258"/>
    <w:rsid w:val="0032520D"/>
    <w:rsid w:val="003268CE"/>
    <w:rsid w:val="00326D77"/>
    <w:rsid w:val="00330435"/>
    <w:rsid w:val="003352E2"/>
    <w:rsid w:val="003358BB"/>
    <w:rsid w:val="00341D3B"/>
    <w:rsid w:val="0034213F"/>
    <w:rsid w:val="00342C19"/>
    <w:rsid w:val="00343DAB"/>
    <w:rsid w:val="003468C7"/>
    <w:rsid w:val="00352060"/>
    <w:rsid w:val="003523AF"/>
    <w:rsid w:val="00352C63"/>
    <w:rsid w:val="003539A2"/>
    <w:rsid w:val="00353C69"/>
    <w:rsid w:val="0035426D"/>
    <w:rsid w:val="00364EC2"/>
    <w:rsid w:val="003654E0"/>
    <w:rsid w:val="00365E77"/>
    <w:rsid w:val="00366064"/>
    <w:rsid w:val="00366B6D"/>
    <w:rsid w:val="00370A4F"/>
    <w:rsid w:val="0037104F"/>
    <w:rsid w:val="00373034"/>
    <w:rsid w:val="0037592A"/>
    <w:rsid w:val="0037600F"/>
    <w:rsid w:val="0037722B"/>
    <w:rsid w:val="00386C70"/>
    <w:rsid w:val="00390905"/>
    <w:rsid w:val="003932D2"/>
    <w:rsid w:val="003934EC"/>
    <w:rsid w:val="003948DE"/>
    <w:rsid w:val="00395E66"/>
    <w:rsid w:val="003A4C64"/>
    <w:rsid w:val="003B002C"/>
    <w:rsid w:val="003B3735"/>
    <w:rsid w:val="003C02C4"/>
    <w:rsid w:val="003C1515"/>
    <w:rsid w:val="003C6FA8"/>
    <w:rsid w:val="003C7C80"/>
    <w:rsid w:val="003D5FB1"/>
    <w:rsid w:val="003D6FA1"/>
    <w:rsid w:val="003D70D6"/>
    <w:rsid w:val="003E03B2"/>
    <w:rsid w:val="003E7C14"/>
    <w:rsid w:val="003F6566"/>
    <w:rsid w:val="003F7BA3"/>
    <w:rsid w:val="00404E3A"/>
    <w:rsid w:val="0040599C"/>
    <w:rsid w:val="0040753E"/>
    <w:rsid w:val="00412A03"/>
    <w:rsid w:val="004153AB"/>
    <w:rsid w:val="00416DE9"/>
    <w:rsid w:val="004215B9"/>
    <w:rsid w:val="00434275"/>
    <w:rsid w:val="004371B7"/>
    <w:rsid w:val="00441A8F"/>
    <w:rsid w:val="00446B6B"/>
    <w:rsid w:val="00446CE7"/>
    <w:rsid w:val="004474A3"/>
    <w:rsid w:val="0044782A"/>
    <w:rsid w:val="00450FC4"/>
    <w:rsid w:val="004514BE"/>
    <w:rsid w:val="00452047"/>
    <w:rsid w:val="00463B0A"/>
    <w:rsid w:val="00463B78"/>
    <w:rsid w:val="00465CA4"/>
    <w:rsid w:val="004671E7"/>
    <w:rsid w:val="0047029E"/>
    <w:rsid w:val="00470B4B"/>
    <w:rsid w:val="004745E7"/>
    <w:rsid w:val="004774F9"/>
    <w:rsid w:val="00480DF1"/>
    <w:rsid w:val="00483341"/>
    <w:rsid w:val="0049024D"/>
    <w:rsid w:val="00490539"/>
    <w:rsid w:val="004909C8"/>
    <w:rsid w:val="00496BE2"/>
    <w:rsid w:val="00497E28"/>
    <w:rsid w:val="004A2240"/>
    <w:rsid w:val="004A4765"/>
    <w:rsid w:val="004A6CCE"/>
    <w:rsid w:val="004B04DD"/>
    <w:rsid w:val="004B3067"/>
    <w:rsid w:val="004B3E3F"/>
    <w:rsid w:val="004B6676"/>
    <w:rsid w:val="004D02EC"/>
    <w:rsid w:val="004D4570"/>
    <w:rsid w:val="004D4588"/>
    <w:rsid w:val="004D4B11"/>
    <w:rsid w:val="004E01F2"/>
    <w:rsid w:val="004E249F"/>
    <w:rsid w:val="004E5528"/>
    <w:rsid w:val="004E7880"/>
    <w:rsid w:val="004E7B94"/>
    <w:rsid w:val="004F1369"/>
    <w:rsid w:val="004F4B30"/>
    <w:rsid w:val="004F5AA5"/>
    <w:rsid w:val="004F73BF"/>
    <w:rsid w:val="00500982"/>
    <w:rsid w:val="0050366F"/>
    <w:rsid w:val="0050437B"/>
    <w:rsid w:val="00505E5B"/>
    <w:rsid w:val="0050626B"/>
    <w:rsid w:val="00506A5A"/>
    <w:rsid w:val="00510274"/>
    <w:rsid w:val="00511D81"/>
    <w:rsid w:val="00515511"/>
    <w:rsid w:val="00515578"/>
    <w:rsid w:val="00520961"/>
    <w:rsid w:val="00523348"/>
    <w:rsid w:val="005271DB"/>
    <w:rsid w:val="005271E4"/>
    <w:rsid w:val="00530B12"/>
    <w:rsid w:val="00533C51"/>
    <w:rsid w:val="0053430C"/>
    <w:rsid w:val="00535F2B"/>
    <w:rsid w:val="00537098"/>
    <w:rsid w:val="00537D96"/>
    <w:rsid w:val="00541497"/>
    <w:rsid w:val="00551455"/>
    <w:rsid w:val="005634D4"/>
    <w:rsid w:val="005640D7"/>
    <w:rsid w:val="00564FA1"/>
    <w:rsid w:val="00566D1E"/>
    <w:rsid w:val="005812BA"/>
    <w:rsid w:val="00582C47"/>
    <w:rsid w:val="00582CA9"/>
    <w:rsid w:val="00583722"/>
    <w:rsid w:val="005853D7"/>
    <w:rsid w:val="00590671"/>
    <w:rsid w:val="00591BD6"/>
    <w:rsid w:val="00594DA6"/>
    <w:rsid w:val="00596E04"/>
    <w:rsid w:val="00597C2D"/>
    <w:rsid w:val="005A2ED1"/>
    <w:rsid w:val="005A3480"/>
    <w:rsid w:val="005A6292"/>
    <w:rsid w:val="005A7C2A"/>
    <w:rsid w:val="005B2C3B"/>
    <w:rsid w:val="005B480B"/>
    <w:rsid w:val="005B52D1"/>
    <w:rsid w:val="005B72E7"/>
    <w:rsid w:val="005C1229"/>
    <w:rsid w:val="005C1BF1"/>
    <w:rsid w:val="005C4B2D"/>
    <w:rsid w:val="005C5720"/>
    <w:rsid w:val="005C73CD"/>
    <w:rsid w:val="005D563D"/>
    <w:rsid w:val="005E1394"/>
    <w:rsid w:val="005E143D"/>
    <w:rsid w:val="005E16F2"/>
    <w:rsid w:val="005E43B9"/>
    <w:rsid w:val="005E5A01"/>
    <w:rsid w:val="005E7D7F"/>
    <w:rsid w:val="005F3697"/>
    <w:rsid w:val="005F370E"/>
    <w:rsid w:val="005F3718"/>
    <w:rsid w:val="005F6C24"/>
    <w:rsid w:val="005F7205"/>
    <w:rsid w:val="005F758F"/>
    <w:rsid w:val="0060334D"/>
    <w:rsid w:val="0060709F"/>
    <w:rsid w:val="006079F3"/>
    <w:rsid w:val="00607AB5"/>
    <w:rsid w:val="00611F48"/>
    <w:rsid w:val="00614345"/>
    <w:rsid w:val="00614E22"/>
    <w:rsid w:val="00624B96"/>
    <w:rsid w:val="00631EE1"/>
    <w:rsid w:val="00637C1C"/>
    <w:rsid w:val="006404B7"/>
    <w:rsid w:val="0064144A"/>
    <w:rsid w:val="00644FBE"/>
    <w:rsid w:val="00647045"/>
    <w:rsid w:val="006507DE"/>
    <w:rsid w:val="00652EA9"/>
    <w:rsid w:val="00655885"/>
    <w:rsid w:val="00661D2C"/>
    <w:rsid w:val="00661FBC"/>
    <w:rsid w:val="00662ABC"/>
    <w:rsid w:val="006636DB"/>
    <w:rsid w:val="00664689"/>
    <w:rsid w:val="00670BAB"/>
    <w:rsid w:val="00670E3F"/>
    <w:rsid w:val="00672B19"/>
    <w:rsid w:val="00674E04"/>
    <w:rsid w:val="00677C38"/>
    <w:rsid w:val="006833F4"/>
    <w:rsid w:val="00683647"/>
    <w:rsid w:val="00683A95"/>
    <w:rsid w:val="00685020"/>
    <w:rsid w:val="00690734"/>
    <w:rsid w:val="00694014"/>
    <w:rsid w:val="00694063"/>
    <w:rsid w:val="00695620"/>
    <w:rsid w:val="006A16EE"/>
    <w:rsid w:val="006A1D27"/>
    <w:rsid w:val="006A57BA"/>
    <w:rsid w:val="006B077A"/>
    <w:rsid w:val="006B279C"/>
    <w:rsid w:val="006B568B"/>
    <w:rsid w:val="006B5AB3"/>
    <w:rsid w:val="006B5E71"/>
    <w:rsid w:val="006B7963"/>
    <w:rsid w:val="006C09FD"/>
    <w:rsid w:val="006C281E"/>
    <w:rsid w:val="006C5955"/>
    <w:rsid w:val="006C7377"/>
    <w:rsid w:val="006D0E71"/>
    <w:rsid w:val="006D248E"/>
    <w:rsid w:val="006D3EE3"/>
    <w:rsid w:val="006D6463"/>
    <w:rsid w:val="006E26A6"/>
    <w:rsid w:val="006E3DD5"/>
    <w:rsid w:val="006E5289"/>
    <w:rsid w:val="006E6101"/>
    <w:rsid w:val="006F2011"/>
    <w:rsid w:val="006F35F5"/>
    <w:rsid w:val="006F698D"/>
    <w:rsid w:val="00700A25"/>
    <w:rsid w:val="00703B7E"/>
    <w:rsid w:val="007050FB"/>
    <w:rsid w:val="007059FA"/>
    <w:rsid w:val="0071021E"/>
    <w:rsid w:val="00715B42"/>
    <w:rsid w:val="00715C1F"/>
    <w:rsid w:val="0071606B"/>
    <w:rsid w:val="007216BC"/>
    <w:rsid w:val="007238B2"/>
    <w:rsid w:val="00724A03"/>
    <w:rsid w:val="007259CD"/>
    <w:rsid w:val="0073138B"/>
    <w:rsid w:val="007324CF"/>
    <w:rsid w:val="00734812"/>
    <w:rsid w:val="007350F0"/>
    <w:rsid w:val="00735EC7"/>
    <w:rsid w:val="00741F78"/>
    <w:rsid w:val="00744160"/>
    <w:rsid w:val="00744DCD"/>
    <w:rsid w:val="0074535E"/>
    <w:rsid w:val="00745A5D"/>
    <w:rsid w:val="00746EB0"/>
    <w:rsid w:val="00750206"/>
    <w:rsid w:val="00750435"/>
    <w:rsid w:val="00754AAC"/>
    <w:rsid w:val="0075620F"/>
    <w:rsid w:val="007601A9"/>
    <w:rsid w:val="00762D0F"/>
    <w:rsid w:val="00764FAB"/>
    <w:rsid w:val="0076538B"/>
    <w:rsid w:val="00765451"/>
    <w:rsid w:val="00766BED"/>
    <w:rsid w:val="007702CD"/>
    <w:rsid w:val="00771A19"/>
    <w:rsid w:val="007722DA"/>
    <w:rsid w:val="00775760"/>
    <w:rsid w:val="007800A3"/>
    <w:rsid w:val="0078099F"/>
    <w:rsid w:val="00781F48"/>
    <w:rsid w:val="00782A0F"/>
    <w:rsid w:val="00784F44"/>
    <w:rsid w:val="007861F4"/>
    <w:rsid w:val="00787FA8"/>
    <w:rsid w:val="00791E4A"/>
    <w:rsid w:val="00792BF3"/>
    <w:rsid w:val="007947FB"/>
    <w:rsid w:val="007955D6"/>
    <w:rsid w:val="007A5129"/>
    <w:rsid w:val="007A56EA"/>
    <w:rsid w:val="007A5E14"/>
    <w:rsid w:val="007A622A"/>
    <w:rsid w:val="007A632C"/>
    <w:rsid w:val="007B0C8F"/>
    <w:rsid w:val="007B2280"/>
    <w:rsid w:val="007B28F8"/>
    <w:rsid w:val="007B48A5"/>
    <w:rsid w:val="007B64E3"/>
    <w:rsid w:val="007B67A5"/>
    <w:rsid w:val="007B6CD9"/>
    <w:rsid w:val="007B7675"/>
    <w:rsid w:val="007B77CF"/>
    <w:rsid w:val="007C0CE3"/>
    <w:rsid w:val="007C60D9"/>
    <w:rsid w:val="007D2729"/>
    <w:rsid w:val="007D2D15"/>
    <w:rsid w:val="007D6FF7"/>
    <w:rsid w:val="007E2626"/>
    <w:rsid w:val="007E366F"/>
    <w:rsid w:val="007E6820"/>
    <w:rsid w:val="007E7DA5"/>
    <w:rsid w:val="007F05A1"/>
    <w:rsid w:val="007F1356"/>
    <w:rsid w:val="007F310F"/>
    <w:rsid w:val="007F55B4"/>
    <w:rsid w:val="007F5FA3"/>
    <w:rsid w:val="007F66E3"/>
    <w:rsid w:val="008067F2"/>
    <w:rsid w:val="00811F33"/>
    <w:rsid w:val="0081330F"/>
    <w:rsid w:val="008160FF"/>
    <w:rsid w:val="00817A4D"/>
    <w:rsid w:val="00820315"/>
    <w:rsid w:val="008217FC"/>
    <w:rsid w:val="00824341"/>
    <w:rsid w:val="008249A9"/>
    <w:rsid w:val="00825F02"/>
    <w:rsid w:val="008279AA"/>
    <w:rsid w:val="00831548"/>
    <w:rsid w:val="0083335D"/>
    <w:rsid w:val="008424DB"/>
    <w:rsid w:val="00846806"/>
    <w:rsid w:val="00847901"/>
    <w:rsid w:val="00850D65"/>
    <w:rsid w:val="00851E54"/>
    <w:rsid w:val="00852F46"/>
    <w:rsid w:val="00854182"/>
    <w:rsid w:val="00854427"/>
    <w:rsid w:val="0085551C"/>
    <w:rsid w:val="00855602"/>
    <w:rsid w:val="00856A81"/>
    <w:rsid w:val="00857165"/>
    <w:rsid w:val="00857F14"/>
    <w:rsid w:val="0086074D"/>
    <w:rsid w:val="008617FD"/>
    <w:rsid w:val="00870B15"/>
    <w:rsid w:val="0087166E"/>
    <w:rsid w:val="00872C3B"/>
    <w:rsid w:val="00873D24"/>
    <w:rsid w:val="008755FE"/>
    <w:rsid w:val="0087654C"/>
    <w:rsid w:val="00882580"/>
    <w:rsid w:val="00886029"/>
    <w:rsid w:val="00890364"/>
    <w:rsid w:val="008953F8"/>
    <w:rsid w:val="00895918"/>
    <w:rsid w:val="008A17FC"/>
    <w:rsid w:val="008A28A5"/>
    <w:rsid w:val="008B0654"/>
    <w:rsid w:val="008B152C"/>
    <w:rsid w:val="008B52D4"/>
    <w:rsid w:val="008B550F"/>
    <w:rsid w:val="008C3F7D"/>
    <w:rsid w:val="008C74DF"/>
    <w:rsid w:val="008D3CD2"/>
    <w:rsid w:val="008D5C70"/>
    <w:rsid w:val="008D631F"/>
    <w:rsid w:val="008E1E53"/>
    <w:rsid w:val="008F047B"/>
    <w:rsid w:val="008F24A2"/>
    <w:rsid w:val="008F6A1D"/>
    <w:rsid w:val="008F72EA"/>
    <w:rsid w:val="00901C8E"/>
    <w:rsid w:val="00903442"/>
    <w:rsid w:val="00903B3A"/>
    <w:rsid w:val="00904EE6"/>
    <w:rsid w:val="0090661F"/>
    <w:rsid w:val="0090745A"/>
    <w:rsid w:val="00911E4F"/>
    <w:rsid w:val="00916108"/>
    <w:rsid w:val="00917BEE"/>
    <w:rsid w:val="009220E7"/>
    <w:rsid w:val="00923AD5"/>
    <w:rsid w:val="009254D7"/>
    <w:rsid w:val="00925AC5"/>
    <w:rsid w:val="00926A7A"/>
    <w:rsid w:val="00927EF9"/>
    <w:rsid w:val="00930796"/>
    <w:rsid w:val="00932596"/>
    <w:rsid w:val="00933CAA"/>
    <w:rsid w:val="00936C68"/>
    <w:rsid w:val="00936DD5"/>
    <w:rsid w:val="009406DC"/>
    <w:rsid w:val="0094411C"/>
    <w:rsid w:val="0094528F"/>
    <w:rsid w:val="00945479"/>
    <w:rsid w:val="00951035"/>
    <w:rsid w:val="00952619"/>
    <w:rsid w:val="0095469D"/>
    <w:rsid w:val="00954CC9"/>
    <w:rsid w:val="009561BA"/>
    <w:rsid w:val="0095670D"/>
    <w:rsid w:val="00961B0C"/>
    <w:rsid w:val="00962B22"/>
    <w:rsid w:val="00964BEE"/>
    <w:rsid w:val="009703D9"/>
    <w:rsid w:val="009714A9"/>
    <w:rsid w:val="009719E5"/>
    <w:rsid w:val="0097317D"/>
    <w:rsid w:val="009741AA"/>
    <w:rsid w:val="00977672"/>
    <w:rsid w:val="00986A51"/>
    <w:rsid w:val="00987515"/>
    <w:rsid w:val="00987741"/>
    <w:rsid w:val="00991458"/>
    <w:rsid w:val="00992FF7"/>
    <w:rsid w:val="00994176"/>
    <w:rsid w:val="00994734"/>
    <w:rsid w:val="009949F2"/>
    <w:rsid w:val="00996814"/>
    <w:rsid w:val="00996997"/>
    <w:rsid w:val="00997204"/>
    <w:rsid w:val="009A1DDF"/>
    <w:rsid w:val="009A267F"/>
    <w:rsid w:val="009A701E"/>
    <w:rsid w:val="009B03C2"/>
    <w:rsid w:val="009C061B"/>
    <w:rsid w:val="009C0DDB"/>
    <w:rsid w:val="009C1BB3"/>
    <w:rsid w:val="009C2FE9"/>
    <w:rsid w:val="009C3C03"/>
    <w:rsid w:val="009C7184"/>
    <w:rsid w:val="009D0856"/>
    <w:rsid w:val="009D2819"/>
    <w:rsid w:val="009D4D62"/>
    <w:rsid w:val="009E0DA9"/>
    <w:rsid w:val="009E244B"/>
    <w:rsid w:val="009E680E"/>
    <w:rsid w:val="009E6AB2"/>
    <w:rsid w:val="009F1EF1"/>
    <w:rsid w:val="009F4340"/>
    <w:rsid w:val="009F766E"/>
    <w:rsid w:val="009F779B"/>
    <w:rsid w:val="009F7AE7"/>
    <w:rsid w:val="009F7CD3"/>
    <w:rsid w:val="00A00946"/>
    <w:rsid w:val="00A0428C"/>
    <w:rsid w:val="00A045DE"/>
    <w:rsid w:val="00A05BDA"/>
    <w:rsid w:val="00A1099D"/>
    <w:rsid w:val="00A13980"/>
    <w:rsid w:val="00A160A8"/>
    <w:rsid w:val="00A168CF"/>
    <w:rsid w:val="00A2188F"/>
    <w:rsid w:val="00A265E4"/>
    <w:rsid w:val="00A305D2"/>
    <w:rsid w:val="00A3072F"/>
    <w:rsid w:val="00A30C20"/>
    <w:rsid w:val="00A3167E"/>
    <w:rsid w:val="00A3211D"/>
    <w:rsid w:val="00A32EB1"/>
    <w:rsid w:val="00A35A9F"/>
    <w:rsid w:val="00A37C27"/>
    <w:rsid w:val="00A37CAD"/>
    <w:rsid w:val="00A37E02"/>
    <w:rsid w:val="00A44A94"/>
    <w:rsid w:val="00A467B7"/>
    <w:rsid w:val="00A544E7"/>
    <w:rsid w:val="00A57183"/>
    <w:rsid w:val="00A6025B"/>
    <w:rsid w:val="00A60C69"/>
    <w:rsid w:val="00A6494F"/>
    <w:rsid w:val="00A65DEA"/>
    <w:rsid w:val="00A67967"/>
    <w:rsid w:val="00A67CA9"/>
    <w:rsid w:val="00A70A79"/>
    <w:rsid w:val="00A743CF"/>
    <w:rsid w:val="00A75A13"/>
    <w:rsid w:val="00A77C06"/>
    <w:rsid w:val="00A87523"/>
    <w:rsid w:val="00A92530"/>
    <w:rsid w:val="00A92612"/>
    <w:rsid w:val="00A9377A"/>
    <w:rsid w:val="00A94560"/>
    <w:rsid w:val="00A955C4"/>
    <w:rsid w:val="00A95E3C"/>
    <w:rsid w:val="00A9697D"/>
    <w:rsid w:val="00A97F8F"/>
    <w:rsid w:val="00AA0AB7"/>
    <w:rsid w:val="00AA13B6"/>
    <w:rsid w:val="00AA3E35"/>
    <w:rsid w:val="00AA5B3A"/>
    <w:rsid w:val="00AB6A22"/>
    <w:rsid w:val="00AC451B"/>
    <w:rsid w:val="00AC503C"/>
    <w:rsid w:val="00AC62A8"/>
    <w:rsid w:val="00AD011A"/>
    <w:rsid w:val="00AD0135"/>
    <w:rsid w:val="00AD4E7B"/>
    <w:rsid w:val="00AE2F2B"/>
    <w:rsid w:val="00AE5397"/>
    <w:rsid w:val="00AF0077"/>
    <w:rsid w:val="00AF0A23"/>
    <w:rsid w:val="00AF56E0"/>
    <w:rsid w:val="00AF7224"/>
    <w:rsid w:val="00AF7D97"/>
    <w:rsid w:val="00AF7E0B"/>
    <w:rsid w:val="00B00D7E"/>
    <w:rsid w:val="00B00E4C"/>
    <w:rsid w:val="00B11259"/>
    <w:rsid w:val="00B12D72"/>
    <w:rsid w:val="00B15191"/>
    <w:rsid w:val="00B15FE2"/>
    <w:rsid w:val="00B169EC"/>
    <w:rsid w:val="00B25B9C"/>
    <w:rsid w:val="00B27ABE"/>
    <w:rsid w:val="00B31983"/>
    <w:rsid w:val="00B35AEA"/>
    <w:rsid w:val="00B3661E"/>
    <w:rsid w:val="00B37271"/>
    <w:rsid w:val="00B44DBA"/>
    <w:rsid w:val="00B4537E"/>
    <w:rsid w:val="00B4590F"/>
    <w:rsid w:val="00B45BE0"/>
    <w:rsid w:val="00B45E0F"/>
    <w:rsid w:val="00B46815"/>
    <w:rsid w:val="00B4749D"/>
    <w:rsid w:val="00B51D9D"/>
    <w:rsid w:val="00B53519"/>
    <w:rsid w:val="00B53922"/>
    <w:rsid w:val="00B55149"/>
    <w:rsid w:val="00B55A38"/>
    <w:rsid w:val="00B55B01"/>
    <w:rsid w:val="00B56E81"/>
    <w:rsid w:val="00B64C99"/>
    <w:rsid w:val="00B6528E"/>
    <w:rsid w:val="00B6574E"/>
    <w:rsid w:val="00B659CB"/>
    <w:rsid w:val="00B66E85"/>
    <w:rsid w:val="00B7124F"/>
    <w:rsid w:val="00B77FC4"/>
    <w:rsid w:val="00B85188"/>
    <w:rsid w:val="00B86BA5"/>
    <w:rsid w:val="00B9047A"/>
    <w:rsid w:val="00B953F3"/>
    <w:rsid w:val="00B96275"/>
    <w:rsid w:val="00B962F4"/>
    <w:rsid w:val="00B96441"/>
    <w:rsid w:val="00B967DE"/>
    <w:rsid w:val="00B97914"/>
    <w:rsid w:val="00BA1843"/>
    <w:rsid w:val="00BA1F01"/>
    <w:rsid w:val="00BA7009"/>
    <w:rsid w:val="00BB0159"/>
    <w:rsid w:val="00BB149B"/>
    <w:rsid w:val="00BB3E68"/>
    <w:rsid w:val="00BB7324"/>
    <w:rsid w:val="00BC0175"/>
    <w:rsid w:val="00BC70C7"/>
    <w:rsid w:val="00BD02B4"/>
    <w:rsid w:val="00BD7997"/>
    <w:rsid w:val="00BE137A"/>
    <w:rsid w:val="00BE4AB9"/>
    <w:rsid w:val="00BE5662"/>
    <w:rsid w:val="00BE7651"/>
    <w:rsid w:val="00BF189B"/>
    <w:rsid w:val="00BF32EC"/>
    <w:rsid w:val="00BF4C12"/>
    <w:rsid w:val="00C004E1"/>
    <w:rsid w:val="00C008B5"/>
    <w:rsid w:val="00C045B4"/>
    <w:rsid w:val="00C04B5F"/>
    <w:rsid w:val="00C065B0"/>
    <w:rsid w:val="00C06FE3"/>
    <w:rsid w:val="00C14B7D"/>
    <w:rsid w:val="00C15199"/>
    <w:rsid w:val="00C159C6"/>
    <w:rsid w:val="00C16171"/>
    <w:rsid w:val="00C23BE4"/>
    <w:rsid w:val="00C240F5"/>
    <w:rsid w:val="00C24AE3"/>
    <w:rsid w:val="00C2657D"/>
    <w:rsid w:val="00C265BE"/>
    <w:rsid w:val="00C26A83"/>
    <w:rsid w:val="00C27169"/>
    <w:rsid w:val="00C274F4"/>
    <w:rsid w:val="00C343A9"/>
    <w:rsid w:val="00C3622A"/>
    <w:rsid w:val="00C36B41"/>
    <w:rsid w:val="00C42037"/>
    <w:rsid w:val="00C42235"/>
    <w:rsid w:val="00C44FBD"/>
    <w:rsid w:val="00C450BC"/>
    <w:rsid w:val="00C451D3"/>
    <w:rsid w:val="00C47226"/>
    <w:rsid w:val="00C476EC"/>
    <w:rsid w:val="00C51D2D"/>
    <w:rsid w:val="00C57C89"/>
    <w:rsid w:val="00C612C3"/>
    <w:rsid w:val="00C64FCD"/>
    <w:rsid w:val="00C65F0E"/>
    <w:rsid w:val="00C7100E"/>
    <w:rsid w:val="00C727F1"/>
    <w:rsid w:val="00C7308F"/>
    <w:rsid w:val="00C75CB2"/>
    <w:rsid w:val="00C77577"/>
    <w:rsid w:val="00C80682"/>
    <w:rsid w:val="00C82C8F"/>
    <w:rsid w:val="00C8566A"/>
    <w:rsid w:val="00C9195E"/>
    <w:rsid w:val="00C91CE6"/>
    <w:rsid w:val="00C9251A"/>
    <w:rsid w:val="00C944FE"/>
    <w:rsid w:val="00C966C0"/>
    <w:rsid w:val="00CA0156"/>
    <w:rsid w:val="00CA3A5C"/>
    <w:rsid w:val="00CA5DEC"/>
    <w:rsid w:val="00CA74EA"/>
    <w:rsid w:val="00CB15B4"/>
    <w:rsid w:val="00CB6AE1"/>
    <w:rsid w:val="00CC08FA"/>
    <w:rsid w:val="00CC4B0E"/>
    <w:rsid w:val="00CC4B67"/>
    <w:rsid w:val="00CC5424"/>
    <w:rsid w:val="00CC68CD"/>
    <w:rsid w:val="00CC7B36"/>
    <w:rsid w:val="00CD42E7"/>
    <w:rsid w:val="00CD471A"/>
    <w:rsid w:val="00CD55A0"/>
    <w:rsid w:val="00CD5921"/>
    <w:rsid w:val="00CD7574"/>
    <w:rsid w:val="00CE093D"/>
    <w:rsid w:val="00CE16A7"/>
    <w:rsid w:val="00CE1C96"/>
    <w:rsid w:val="00CE25AD"/>
    <w:rsid w:val="00CE37B4"/>
    <w:rsid w:val="00CE527C"/>
    <w:rsid w:val="00CE67A9"/>
    <w:rsid w:val="00CF03E7"/>
    <w:rsid w:val="00CF248E"/>
    <w:rsid w:val="00D01776"/>
    <w:rsid w:val="00D02D21"/>
    <w:rsid w:val="00D02E6B"/>
    <w:rsid w:val="00D05757"/>
    <w:rsid w:val="00D05C23"/>
    <w:rsid w:val="00D100E1"/>
    <w:rsid w:val="00D11496"/>
    <w:rsid w:val="00D145BE"/>
    <w:rsid w:val="00D16A85"/>
    <w:rsid w:val="00D170CD"/>
    <w:rsid w:val="00D17738"/>
    <w:rsid w:val="00D24BCF"/>
    <w:rsid w:val="00D25E25"/>
    <w:rsid w:val="00D26530"/>
    <w:rsid w:val="00D265A1"/>
    <w:rsid w:val="00D2763E"/>
    <w:rsid w:val="00D31395"/>
    <w:rsid w:val="00D318DB"/>
    <w:rsid w:val="00D32BC1"/>
    <w:rsid w:val="00D3565D"/>
    <w:rsid w:val="00D35F52"/>
    <w:rsid w:val="00D37CFB"/>
    <w:rsid w:val="00D44798"/>
    <w:rsid w:val="00D4572B"/>
    <w:rsid w:val="00D4585A"/>
    <w:rsid w:val="00D47E91"/>
    <w:rsid w:val="00D52A09"/>
    <w:rsid w:val="00D54156"/>
    <w:rsid w:val="00D60811"/>
    <w:rsid w:val="00D60D6D"/>
    <w:rsid w:val="00D62127"/>
    <w:rsid w:val="00D631C1"/>
    <w:rsid w:val="00D63E2D"/>
    <w:rsid w:val="00D74A49"/>
    <w:rsid w:val="00D77FDD"/>
    <w:rsid w:val="00D807D2"/>
    <w:rsid w:val="00D80D90"/>
    <w:rsid w:val="00D819B2"/>
    <w:rsid w:val="00D83780"/>
    <w:rsid w:val="00D83A09"/>
    <w:rsid w:val="00D8634E"/>
    <w:rsid w:val="00D86DD3"/>
    <w:rsid w:val="00D95E80"/>
    <w:rsid w:val="00DA1359"/>
    <w:rsid w:val="00DA2B22"/>
    <w:rsid w:val="00DA3223"/>
    <w:rsid w:val="00DA3571"/>
    <w:rsid w:val="00DB214B"/>
    <w:rsid w:val="00DB25D8"/>
    <w:rsid w:val="00DB2BCB"/>
    <w:rsid w:val="00DB30AF"/>
    <w:rsid w:val="00DB31DF"/>
    <w:rsid w:val="00DC0E2C"/>
    <w:rsid w:val="00DD2134"/>
    <w:rsid w:val="00DD3A67"/>
    <w:rsid w:val="00DD4743"/>
    <w:rsid w:val="00DE531D"/>
    <w:rsid w:val="00DE6951"/>
    <w:rsid w:val="00DF0545"/>
    <w:rsid w:val="00DF1A81"/>
    <w:rsid w:val="00DF1E8B"/>
    <w:rsid w:val="00DF56A2"/>
    <w:rsid w:val="00E04667"/>
    <w:rsid w:val="00E12CBD"/>
    <w:rsid w:val="00E170DD"/>
    <w:rsid w:val="00E17761"/>
    <w:rsid w:val="00E2192F"/>
    <w:rsid w:val="00E24175"/>
    <w:rsid w:val="00E24814"/>
    <w:rsid w:val="00E250EA"/>
    <w:rsid w:val="00E30ECA"/>
    <w:rsid w:val="00E31C57"/>
    <w:rsid w:val="00E32464"/>
    <w:rsid w:val="00E346F1"/>
    <w:rsid w:val="00E3549F"/>
    <w:rsid w:val="00E37C9E"/>
    <w:rsid w:val="00E4118E"/>
    <w:rsid w:val="00E42481"/>
    <w:rsid w:val="00E42DC4"/>
    <w:rsid w:val="00E4457D"/>
    <w:rsid w:val="00E45830"/>
    <w:rsid w:val="00E46B80"/>
    <w:rsid w:val="00E502B4"/>
    <w:rsid w:val="00E534ED"/>
    <w:rsid w:val="00E548C3"/>
    <w:rsid w:val="00E5582D"/>
    <w:rsid w:val="00E6324A"/>
    <w:rsid w:val="00E64EAE"/>
    <w:rsid w:val="00E729C4"/>
    <w:rsid w:val="00E73B4B"/>
    <w:rsid w:val="00E77BE8"/>
    <w:rsid w:val="00E80A6C"/>
    <w:rsid w:val="00E82561"/>
    <w:rsid w:val="00E876E7"/>
    <w:rsid w:val="00E91DF8"/>
    <w:rsid w:val="00E9634A"/>
    <w:rsid w:val="00E973EA"/>
    <w:rsid w:val="00EA52A3"/>
    <w:rsid w:val="00EA66EB"/>
    <w:rsid w:val="00EB2466"/>
    <w:rsid w:val="00EB4299"/>
    <w:rsid w:val="00EC3812"/>
    <w:rsid w:val="00EC53F8"/>
    <w:rsid w:val="00EC5B9E"/>
    <w:rsid w:val="00ED010B"/>
    <w:rsid w:val="00ED30C2"/>
    <w:rsid w:val="00EE0661"/>
    <w:rsid w:val="00EF5A31"/>
    <w:rsid w:val="00EF6AEC"/>
    <w:rsid w:val="00F006B5"/>
    <w:rsid w:val="00F02026"/>
    <w:rsid w:val="00F03D7B"/>
    <w:rsid w:val="00F06B99"/>
    <w:rsid w:val="00F1213E"/>
    <w:rsid w:val="00F125E1"/>
    <w:rsid w:val="00F144F1"/>
    <w:rsid w:val="00F145DC"/>
    <w:rsid w:val="00F14938"/>
    <w:rsid w:val="00F21EB1"/>
    <w:rsid w:val="00F23F79"/>
    <w:rsid w:val="00F31D9E"/>
    <w:rsid w:val="00F327E0"/>
    <w:rsid w:val="00F34EA0"/>
    <w:rsid w:val="00F361AF"/>
    <w:rsid w:val="00F408B7"/>
    <w:rsid w:val="00F414FB"/>
    <w:rsid w:val="00F41A5A"/>
    <w:rsid w:val="00F4307A"/>
    <w:rsid w:val="00F439A9"/>
    <w:rsid w:val="00F43C2D"/>
    <w:rsid w:val="00F46976"/>
    <w:rsid w:val="00F471F6"/>
    <w:rsid w:val="00F52BF1"/>
    <w:rsid w:val="00F53847"/>
    <w:rsid w:val="00F53EB6"/>
    <w:rsid w:val="00F56248"/>
    <w:rsid w:val="00F6623A"/>
    <w:rsid w:val="00F722F9"/>
    <w:rsid w:val="00F82FBB"/>
    <w:rsid w:val="00F93CE7"/>
    <w:rsid w:val="00F95B41"/>
    <w:rsid w:val="00FA03E4"/>
    <w:rsid w:val="00FA4B20"/>
    <w:rsid w:val="00FB1AC5"/>
    <w:rsid w:val="00FB2BB1"/>
    <w:rsid w:val="00FB496F"/>
    <w:rsid w:val="00FB6E6B"/>
    <w:rsid w:val="00FB7683"/>
    <w:rsid w:val="00FB788B"/>
    <w:rsid w:val="00FB7C03"/>
    <w:rsid w:val="00FC156E"/>
    <w:rsid w:val="00FC2A30"/>
    <w:rsid w:val="00FC4DBD"/>
    <w:rsid w:val="00FC6068"/>
    <w:rsid w:val="00FC7420"/>
    <w:rsid w:val="00FD151A"/>
    <w:rsid w:val="00FD68E2"/>
    <w:rsid w:val="00FD69AC"/>
    <w:rsid w:val="00FD7B0F"/>
    <w:rsid w:val="00FE0651"/>
    <w:rsid w:val="00FE18AB"/>
    <w:rsid w:val="00FE2717"/>
    <w:rsid w:val="00FE3DD8"/>
    <w:rsid w:val="00FE3DD9"/>
    <w:rsid w:val="00FE5A4C"/>
    <w:rsid w:val="00FE612D"/>
    <w:rsid w:val="00FF1785"/>
    <w:rsid w:val="00FF6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42F1"/>
  <w15:chartTrackingRefBased/>
  <w15:docId w15:val="{DB4A5EC6-FBE5-464F-9C53-21C56715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C8"/>
    <w:pPr>
      <w:spacing w:after="0" w:line="240" w:lineRule="auto"/>
    </w:pPr>
    <w:rPr>
      <w:rFonts w:ascii="Times New Roman" w:eastAsia="Times New Roman" w:hAnsi="Times New Roman" w:cs="Times New Roman"/>
      <w:sz w:val="20"/>
      <w:szCs w:val="20"/>
      <w:lang w:eastAsia="es-MX"/>
    </w:rPr>
  </w:style>
  <w:style w:type="paragraph" w:styleId="Ttulo3">
    <w:name w:val="heading 3"/>
    <w:basedOn w:val="Prrafodelista"/>
    <w:next w:val="Normal"/>
    <w:link w:val="Ttulo3Car"/>
    <w:uiPriority w:val="1"/>
    <w:unhideWhenUsed/>
    <w:qFormat/>
    <w:rsid w:val="000724C8"/>
    <w:pPr>
      <w:numPr>
        <w:numId w:val="3"/>
      </w:numPr>
      <w:spacing w:before="360" w:after="360" w:line="360" w:lineRule="auto"/>
      <w:contextualSpacing/>
      <w:jc w:val="center"/>
      <w:outlineLvl w:val="2"/>
    </w:pPr>
    <w:rPr>
      <w:rFonts w:ascii="Arial" w:eastAsiaTheme="minorHAnsi" w:hAnsi="Arial" w:cs="Arial"/>
      <w:b/>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0724C8"/>
    <w:rPr>
      <w:rFonts w:ascii="Arial" w:hAnsi="Arial" w:cs="Arial"/>
      <w:b/>
      <w:sz w:val="26"/>
      <w:szCs w:val="26"/>
    </w:rPr>
  </w:style>
  <w:style w:type="paragraph" w:customStyle="1" w:styleId="corte1datos">
    <w:name w:val="corte1 datos"/>
    <w:basedOn w:val="Normal"/>
    <w:link w:val="corte1datosCar"/>
    <w:uiPriority w:val="99"/>
    <w:rsid w:val="000724C8"/>
    <w:pPr>
      <w:ind w:left="2552"/>
    </w:pPr>
    <w:rPr>
      <w:rFonts w:ascii="Arial" w:hAnsi="Arial"/>
      <w:b/>
      <w:caps/>
      <w:sz w:val="30"/>
    </w:rPr>
  </w:style>
  <w:style w:type="paragraph" w:customStyle="1" w:styleId="corte2ponente">
    <w:name w:val="corte2 ponente"/>
    <w:basedOn w:val="Normal"/>
    <w:link w:val="corte2ponenteCar"/>
    <w:uiPriority w:val="99"/>
    <w:qFormat/>
    <w:rsid w:val="000724C8"/>
    <w:rPr>
      <w:rFonts w:ascii="Arial" w:hAnsi="Arial"/>
      <w:b/>
      <w:caps/>
      <w:sz w:val="30"/>
    </w:rPr>
  </w:style>
  <w:style w:type="paragraph" w:customStyle="1" w:styleId="corte3centro">
    <w:name w:val="corte3 centro"/>
    <w:basedOn w:val="Normal"/>
    <w:link w:val="corte3centroCar"/>
    <w:qFormat/>
    <w:rsid w:val="000724C8"/>
    <w:pPr>
      <w:spacing w:line="360" w:lineRule="auto"/>
      <w:jc w:val="center"/>
    </w:pPr>
    <w:rPr>
      <w:rFonts w:ascii="Arial" w:hAnsi="Arial"/>
      <w:b/>
      <w:sz w:val="30"/>
    </w:rPr>
  </w:style>
  <w:style w:type="paragraph" w:styleId="Encabezado">
    <w:name w:val="header"/>
    <w:basedOn w:val="Normal"/>
    <w:link w:val="EncabezadoCar"/>
    <w:uiPriority w:val="99"/>
    <w:rsid w:val="000724C8"/>
    <w:pPr>
      <w:tabs>
        <w:tab w:val="center" w:pos="4252"/>
        <w:tab w:val="right" w:pos="8504"/>
      </w:tabs>
    </w:pPr>
  </w:style>
  <w:style w:type="character" w:customStyle="1" w:styleId="EncabezadoCar">
    <w:name w:val="Encabezado Car"/>
    <w:basedOn w:val="Fuentedeprrafopredeter"/>
    <w:link w:val="Encabezado"/>
    <w:uiPriority w:val="99"/>
    <w:rsid w:val="000724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0724C8"/>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0724C8"/>
    <w:rPr>
      <w:rFonts w:ascii="Times New Roman" w:eastAsia="Times New Roman" w:hAnsi="Times New Roman" w:cs="Times New Roman"/>
      <w:sz w:val="20"/>
      <w:szCs w:val="20"/>
      <w:lang w:val="es-ES_tradnl" w:eastAsia="es-MX"/>
    </w:rPr>
  </w:style>
  <w:style w:type="character" w:styleId="Nmerodepgina">
    <w:name w:val="page number"/>
    <w:uiPriority w:val="99"/>
    <w:rsid w:val="000724C8"/>
    <w:rPr>
      <w:rFonts w:cs="Times New Roman"/>
    </w:rPr>
  </w:style>
  <w:style w:type="paragraph" w:customStyle="1" w:styleId="corte4fondoCarCarCarCarCar">
    <w:name w:val="corte4 fondo Car Car Car Car Car"/>
    <w:basedOn w:val="Normal"/>
    <w:link w:val="corte4fondoCarCarCarCarCarCar"/>
    <w:rsid w:val="000724C8"/>
    <w:pPr>
      <w:spacing w:line="360" w:lineRule="auto"/>
      <w:ind w:firstLine="709"/>
      <w:jc w:val="both"/>
    </w:pPr>
    <w:rPr>
      <w:rFonts w:ascii="Arial" w:hAnsi="Arial"/>
      <w:sz w:val="30"/>
      <w:lang w:val="es-ES_tradnl"/>
    </w:rPr>
  </w:style>
  <w:style w:type="character" w:customStyle="1" w:styleId="corte4fondoCarCarCarCarCarCar">
    <w:name w:val="corte4 fondo Car Car Car Car Car Car"/>
    <w:link w:val="corte4fondoCarCarCarCarCar"/>
    <w:locked/>
    <w:rsid w:val="000724C8"/>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1"/>
    <w:qFormat/>
    <w:rsid w:val="000724C8"/>
    <w:pPr>
      <w:spacing w:line="360" w:lineRule="auto"/>
      <w:ind w:firstLine="709"/>
      <w:jc w:val="both"/>
    </w:pPr>
    <w:rPr>
      <w:rFonts w:ascii="Arial" w:hAnsi="Arial"/>
      <w:sz w:val="30"/>
      <w:lang w:val="es-ES_tradnl" w:eastAsia="es-ES"/>
    </w:rPr>
  </w:style>
  <w:style w:type="paragraph" w:customStyle="1" w:styleId="corte4fondoCarCar">
    <w:name w:val="corte4 fondo Car Car"/>
    <w:basedOn w:val="Normal"/>
    <w:link w:val="corte4fondoCarCarCar1"/>
    <w:uiPriority w:val="99"/>
    <w:rsid w:val="000724C8"/>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qFormat/>
    <w:rsid w:val="000724C8"/>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0724C8"/>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0724C8"/>
    <w:rPr>
      <w:vertAlign w:val="superscript"/>
    </w:rPr>
  </w:style>
  <w:style w:type="character" w:customStyle="1" w:styleId="corte4fondoCarCarCar1">
    <w:name w:val="corte4 fondo Car Car Car1"/>
    <w:link w:val="corte4fondoCarCar"/>
    <w:uiPriority w:val="99"/>
    <w:locked/>
    <w:rsid w:val="000724C8"/>
    <w:rPr>
      <w:rFonts w:ascii="Arial" w:eastAsia="Times New Roman" w:hAnsi="Arial" w:cs="Times New Roman"/>
      <w:sz w:val="30"/>
      <w:szCs w:val="20"/>
      <w:lang w:val="es-ES_tradnl" w:eastAsia="es-MX"/>
    </w:rPr>
  </w:style>
  <w:style w:type="character" w:customStyle="1" w:styleId="corte4fondoCarCar1">
    <w:name w:val="corte4 fondo Car Car1"/>
    <w:link w:val="corte4fondoCar"/>
    <w:locked/>
    <w:rsid w:val="000724C8"/>
    <w:rPr>
      <w:rFonts w:ascii="Arial" w:eastAsia="Times New Roman" w:hAnsi="Arial" w:cs="Times New Roman"/>
      <w:sz w:val="30"/>
      <w:szCs w:val="20"/>
      <w:lang w:val="es-ES_tradnl" w:eastAsia="es-ES"/>
    </w:rPr>
  </w:style>
  <w:style w:type="paragraph" w:customStyle="1" w:styleId="corte4fondo">
    <w:name w:val="corte4 fondo"/>
    <w:basedOn w:val="Normal"/>
    <w:link w:val="corte4fondoCar3"/>
    <w:qFormat/>
    <w:rsid w:val="000724C8"/>
    <w:pPr>
      <w:spacing w:line="360" w:lineRule="auto"/>
      <w:ind w:firstLine="709"/>
      <w:jc w:val="both"/>
    </w:pPr>
    <w:rPr>
      <w:rFonts w:ascii="Arial" w:hAnsi="Arial"/>
      <w:sz w:val="30"/>
      <w:lang w:val="es-ES_tradnl"/>
    </w:rPr>
  </w:style>
  <w:style w:type="paragraph" w:customStyle="1" w:styleId="TEXTONORMAL">
    <w:name w:val="TEXTO NORMAL"/>
    <w:basedOn w:val="Normal"/>
    <w:link w:val="TEXTONORMALCar"/>
    <w:rsid w:val="000724C8"/>
    <w:pPr>
      <w:spacing w:line="360" w:lineRule="auto"/>
      <w:ind w:firstLine="709"/>
      <w:jc w:val="both"/>
    </w:pPr>
    <w:rPr>
      <w:rFonts w:ascii="Arial" w:hAnsi="Arial"/>
      <w:sz w:val="28"/>
      <w:lang w:eastAsia="es-ES"/>
    </w:rPr>
  </w:style>
  <w:style w:type="character" w:customStyle="1" w:styleId="TEXTONORMALCar">
    <w:name w:val="TEXTO NORMAL Car"/>
    <w:link w:val="TEXTONORMAL"/>
    <w:locked/>
    <w:rsid w:val="000724C8"/>
    <w:rPr>
      <w:rFonts w:ascii="Arial" w:eastAsia="Times New Roman" w:hAnsi="Arial" w:cs="Times New Roman"/>
      <w:sz w:val="28"/>
      <w:szCs w:val="20"/>
      <w:lang w:eastAsia="es-ES"/>
    </w:rPr>
  </w:style>
  <w:style w:type="character" w:customStyle="1" w:styleId="corte4fondoCar3">
    <w:name w:val="corte4 fondo Car3"/>
    <w:link w:val="corte4fondo"/>
    <w:locked/>
    <w:rsid w:val="000724C8"/>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0724C8"/>
    <w:rPr>
      <w:rFonts w:ascii="Arial" w:eastAsia="Times New Roman" w:hAnsi="Arial" w:cs="Times New Roman"/>
      <w:b/>
      <w:caps/>
      <w:sz w:val="30"/>
      <w:szCs w:val="20"/>
      <w:lang w:eastAsia="es-MX"/>
    </w:rPr>
  </w:style>
  <w:style w:type="character" w:customStyle="1" w:styleId="corte3centroCar">
    <w:name w:val="corte3 centro Car"/>
    <w:link w:val="corte3centro"/>
    <w:locked/>
    <w:rsid w:val="000724C8"/>
    <w:rPr>
      <w:rFonts w:ascii="Arial" w:eastAsia="Times New Roman" w:hAnsi="Arial" w:cs="Times New Roman"/>
      <w:b/>
      <w:sz w:val="30"/>
      <w:szCs w:val="20"/>
      <w:lang w:eastAsia="es-MX"/>
    </w:rPr>
  </w:style>
  <w:style w:type="paragraph" w:customStyle="1" w:styleId="Normal0">
    <w:name w:val="[Normal]"/>
    <w:rsid w:val="000724C8"/>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Prrafodelista1">
    <w:name w:val="Párrafo de lista1"/>
    <w:basedOn w:val="Normal"/>
    <w:uiPriority w:val="99"/>
    <w:rsid w:val="000724C8"/>
    <w:pPr>
      <w:ind w:left="708"/>
    </w:pPr>
  </w:style>
  <w:style w:type="character" w:customStyle="1" w:styleId="corte1datosCar">
    <w:name w:val="corte1 datos Car"/>
    <w:link w:val="corte1datos"/>
    <w:uiPriority w:val="99"/>
    <w:locked/>
    <w:rsid w:val="000724C8"/>
    <w:rPr>
      <w:rFonts w:ascii="Arial" w:eastAsia="Times New Roman" w:hAnsi="Arial" w:cs="Times New Roman"/>
      <w:b/>
      <w:caps/>
      <w:sz w:val="30"/>
      <w:szCs w:val="20"/>
      <w:lang w:eastAsia="es-MX"/>
    </w:rPr>
  </w:style>
  <w:style w:type="paragraph" w:customStyle="1" w:styleId="corte4fondoCarCarCar3">
    <w:name w:val="corte4 fondo Car Car Car3"/>
    <w:basedOn w:val="Normal"/>
    <w:uiPriority w:val="99"/>
    <w:rsid w:val="000724C8"/>
    <w:pPr>
      <w:snapToGrid w:val="0"/>
      <w:spacing w:line="360" w:lineRule="auto"/>
      <w:ind w:firstLine="709"/>
      <w:jc w:val="both"/>
    </w:pPr>
    <w:rPr>
      <w:rFonts w:ascii="Arial" w:hAnsi="Arial"/>
      <w:sz w:val="30"/>
      <w:lang w:val="es-ES_tradnl" w:eastAsia="es-ES"/>
    </w:rPr>
  </w:style>
  <w:style w:type="character" w:styleId="Fuerte">
    <w:name w:val="Strong"/>
    <w:uiPriority w:val="99"/>
    <w:qFormat/>
    <w:rsid w:val="000724C8"/>
    <w:rPr>
      <w:rFonts w:cs="Times New Roman"/>
      <w:b/>
      <w:bCs/>
    </w:rPr>
  </w:style>
  <w:style w:type="paragraph" w:styleId="Prrafodelista">
    <w:name w:val="List Paragraph"/>
    <w:aliases w:val="Cita texto,Footnote,List Paragraph1,Colorful List - Accent 11,TEXTO GENERAL SENTENCIAS,Cuadrícula clara - Énfasis 31,Párrafo de lista2,PARRAFO,Trascripción,Cuadrícula media 1 - Énfasis 21,Lista multicolor - Énfasis 11,Dot pt,No Spacing1"/>
    <w:basedOn w:val="Normal"/>
    <w:link w:val="PrrafodelistaCar"/>
    <w:uiPriority w:val="34"/>
    <w:qFormat/>
    <w:rsid w:val="000724C8"/>
    <w:pPr>
      <w:ind w:left="708"/>
    </w:pPr>
  </w:style>
  <w:style w:type="paragraph" w:customStyle="1" w:styleId="corte4fondoCarCarCar">
    <w:name w:val="corte4 fondo Car Car Car"/>
    <w:basedOn w:val="Normal"/>
    <w:link w:val="corte4fondoCarCarCarCar"/>
    <w:rsid w:val="000724C8"/>
    <w:pPr>
      <w:spacing w:line="360" w:lineRule="auto"/>
      <w:ind w:firstLine="709"/>
      <w:jc w:val="both"/>
    </w:pPr>
    <w:rPr>
      <w:rFonts w:ascii="Arial" w:hAnsi="Arial" w:cs="Arial"/>
      <w:sz w:val="30"/>
      <w:szCs w:val="30"/>
    </w:rPr>
  </w:style>
  <w:style w:type="character" w:customStyle="1" w:styleId="corte4fondoCar1">
    <w:name w:val="corte4 fondo Car1"/>
    <w:basedOn w:val="Fuentedeprrafopredeter"/>
    <w:rsid w:val="000724C8"/>
    <w:rPr>
      <w:rFonts w:ascii="Arial" w:eastAsia="Times New Roman" w:hAnsi="Arial" w:cs="Times New Roman"/>
      <w:sz w:val="30"/>
      <w:szCs w:val="24"/>
      <w:lang w:eastAsia="es-ES"/>
    </w:rPr>
  </w:style>
  <w:style w:type="character" w:customStyle="1" w:styleId="corte4fondoCar2">
    <w:name w:val="corte4 fondo Car2"/>
    <w:rsid w:val="000724C8"/>
    <w:rPr>
      <w:rFonts w:ascii="Arial" w:eastAsia="Times New Roman" w:hAnsi="Arial" w:cs="Times New Roman"/>
      <w:sz w:val="30"/>
      <w:szCs w:val="20"/>
      <w:lang w:val="es-ES_tradnl" w:eastAsia="es-MX"/>
    </w:rPr>
  </w:style>
  <w:style w:type="paragraph" w:styleId="Sangradetextonormal">
    <w:name w:val="Body Text Indent"/>
    <w:basedOn w:val="Normal"/>
    <w:link w:val="SangradetextonormalCar"/>
    <w:rsid w:val="000724C8"/>
    <w:pPr>
      <w:spacing w:line="480" w:lineRule="auto"/>
      <w:jc w:val="both"/>
    </w:pPr>
    <w:rPr>
      <w:rFonts w:ascii="Arial" w:hAnsi="Arial"/>
      <w:b/>
      <w:i/>
      <w:sz w:val="32"/>
      <w:lang w:val="es-ES" w:eastAsia="es-ES"/>
    </w:rPr>
  </w:style>
  <w:style w:type="character" w:customStyle="1" w:styleId="SangradetextonormalCar">
    <w:name w:val="Sangría de texto normal Car"/>
    <w:basedOn w:val="Fuentedeprrafopredeter"/>
    <w:link w:val="Sangradetextonormal"/>
    <w:rsid w:val="000724C8"/>
    <w:rPr>
      <w:rFonts w:ascii="Arial" w:eastAsia="Times New Roman" w:hAnsi="Arial" w:cs="Times New Roman"/>
      <w:b/>
      <w:i/>
      <w:sz w:val="32"/>
      <w:szCs w:val="20"/>
      <w:lang w:val="es-ES" w:eastAsia="es-ES"/>
    </w:rPr>
  </w:style>
  <w:style w:type="character" w:customStyle="1" w:styleId="TextonotapieCar1">
    <w:name w:val="Texto nota pie Car1"/>
    <w:aliases w:val="FA Fu?notentext Car,Texto nota pie Car Car1,Ca Car,Car3 Car,FA Fuﬂnotentext Car,Footnote Text Char Char Char Car1,Footnote Text Cha Car1,FA Fußnotentext Car1,FA Fu?notentext Car1,FA Fuﬂnotentext Car1"/>
    <w:basedOn w:val="Fuentedeprrafopredeter"/>
    <w:rsid w:val="000724C8"/>
    <w:rPr>
      <w:lang w:val="es-MX" w:eastAsia="es-MX" w:bidi="ar-SA"/>
    </w:rPr>
  </w:style>
  <w:style w:type="paragraph" w:styleId="Textosinformato">
    <w:name w:val="Plain Text"/>
    <w:aliases w:val="Texto sin formato Car Car Car,Texto sin formato Car Car,Texto sin formato Car Car Car Car,Texto sin formato Car Car1,Texto sin formato Car1 Car Car Car1,Texto sin formato Car Car Car Car Car1,Texto sin formato Car1, Car,C"/>
    <w:basedOn w:val="Normal"/>
    <w:link w:val="TextosinformatoCar"/>
    <w:unhideWhenUsed/>
    <w:rsid w:val="000724C8"/>
    <w:rPr>
      <w:rFonts w:ascii="Consolas" w:hAnsi="Consolas"/>
      <w:sz w:val="21"/>
      <w:szCs w:val="21"/>
    </w:rPr>
  </w:style>
  <w:style w:type="character" w:customStyle="1" w:styleId="TextosinformatoCar">
    <w:name w:val="Texto sin formato Car"/>
    <w:aliases w:val="Texto sin formato Car Car Car Car1,Texto sin formato Car Car Car1,Texto sin formato Car Car Car Car Car,Texto sin formato Car Car1 Car,Texto sin formato Car1 Car Car Car1 Car,Texto sin formato Car Car Car Car Car1 Car, Car Car"/>
    <w:basedOn w:val="Fuentedeprrafopredeter"/>
    <w:link w:val="Textosinformato"/>
    <w:rsid w:val="000724C8"/>
    <w:rPr>
      <w:rFonts w:ascii="Consolas" w:eastAsia="Times New Roman" w:hAnsi="Consolas" w:cs="Times New Roman"/>
      <w:sz w:val="21"/>
      <w:szCs w:val="21"/>
      <w:lang w:eastAsia="es-MX"/>
    </w:rPr>
  </w:style>
  <w:style w:type="paragraph" w:styleId="Textodeglobo">
    <w:name w:val="Balloon Text"/>
    <w:basedOn w:val="Normal"/>
    <w:link w:val="TextodegloboCar"/>
    <w:uiPriority w:val="99"/>
    <w:semiHidden/>
    <w:unhideWhenUsed/>
    <w:rsid w:val="000724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4C8"/>
    <w:rPr>
      <w:rFonts w:ascii="Tahoma" w:eastAsia="Times New Roman" w:hAnsi="Tahoma" w:cs="Tahoma"/>
      <w:sz w:val="16"/>
      <w:szCs w:val="16"/>
      <w:lang w:eastAsia="es-MX"/>
    </w:rPr>
  </w:style>
  <w:style w:type="character" w:customStyle="1" w:styleId="corte5transcripcionCar1">
    <w:name w:val="corte5 transcripcion Car1"/>
    <w:link w:val="corte5transcripcion"/>
    <w:locked/>
    <w:rsid w:val="000724C8"/>
    <w:rPr>
      <w:rFonts w:ascii="Arial" w:hAnsi="Arial" w:cs="Arial"/>
      <w:b/>
      <w:i/>
      <w:sz w:val="30"/>
      <w:szCs w:val="24"/>
    </w:rPr>
  </w:style>
  <w:style w:type="paragraph" w:customStyle="1" w:styleId="corte5transcripcion">
    <w:name w:val="corte5 transcripcion"/>
    <w:basedOn w:val="Normal"/>
    <w:link w:val="corte5transcripcionCar1"/>
    <w:qFormat/>
    <w:rsid w:val="000724C8"/>
    <w:pPr>
      <w:spacing w:line="360" w:lineRule="auto"/>
      <w:ind w:left="709" w:right="709"/>
      <w:jc w:val="both"/>
    </w:pPr>
    <w:rPr>
      <w:rFonts w:ascii="Arial" w:eastAsiaTheme="minorHAnsi" w:hAnsi="Arial" w:cs="Arial"/>
      <w:b/>
      <w:i/>
      <w:sz w:val="30"/>
      <w:szCs w:val="24"/>
      <w:lang w:eastAsia="en-US"/>
    </w:rPr>
  </w:style>
  <w:style w:type="character" w:customStyle="1" w:styleId="corte5transcripcionCar">
    <w:name w:val="corte5 transcripcion Car"/>
    <w:locked/>
    <w:rsid w:val="000724C8"/>
    <w:rPr>
      <w:rFonts w:ascii="Arial" w:eastAsia="Calibri" w:hAnsi="Arial" w:cs="Arial"/>
      <w:b/>
      <w:i/>
      <w:sz w:val="30"/>
      <w:szCs w:val="28"/>
    </w:rPr>
  </w:style>
  <w:style w:type="character" w:customStyle="1" w:styleId="lbl-encabezado-blanco2">
    <w:name w:val="lbl-encabezado-blanco2"/>
    <w:rsid w:val="000724C8"/>
    <w:rPr>
      <w:color w:val="FFFFFF"/>
    </w:rPr>
  </w:style>
  <w:style w:type="paragraph" w:styleId="Sinespaciado">
    <w:name w:val="No Spacing"/>
    <w:aliases w:val="RESOLUTIVOS"/>
    <w:link w:val="SinespaciadoCar"/>
    <w:uiPriority w:val="1"/>
    <w:qFormat/>
    <w:rsid w:val="000724C8"/>
    <w:pPr>
      <w:spacing w:after="0" w:line="240" w:lineRule="auto"/>
    </w:pPr>
  </w:style>
  <w:style w:type="character" w:customStyle="1" w:styleId="SinespaciadoCar">
    <w:name w:val="Sin espaciado Car"/>
    <w:aliases w:val="RESOLUTIVOS Car"/>
    <w:link w:val="Sinespaciado"/>
    <w:uiPriority w:val="1"/>
    <w:rsid w:val="000724C8"/>
  </w:style>
  <w:style w:type="character" w:customStyle="1" w:styleId="corte4fondoCarCarCar2">
    <w:name w:val="corte4 fondo Car Car Car2"/>
    <w:locked/>
    <w:rsid w:val="000724C8"/>
    <w:rPr>
      <w:rFonts w:ascii="Arial" w:hAnsi="Arial" w:cs="Arial"/>
      <w:sz w:val="30"/>
      <w:lang w:val="es-ES_tradnl"/>
    </w:rPr>
  </w:style>
  <w:style w:type="character" w:styleId="Hipervnculo">
    <w:name w:val="Hyperlink"/>
    <w:basedOn w:val="Fuentedeprrafopredeter"/>
    <w:uiPriority w:val="99"/>
    <w:unhideWhenUsed/>
    <w:rsid w:val="000724C8"/>
    <w:rPr>
      <w:color w:val="0563C1" w:themeColor="hyperlink"/>
      <w:u w:val="single"/>
    </w:rPr>
  </w:style>
  <w:style w:type="paragraph" w:customStyle="1" w:styleId="Estilo">
    <w:name w:val="Estilo"/>
    <w:basedOn w:val="Sinespaciado"/>
    <w:link w:val="EstiloCar"/>
    <w:qFormat/>
    <w:rsid w:val="000724C8"/>
    <w:pPr>
      <w:jc w:val="both"/>
    </w:pPr>
    <w:rPr>
      <w:rFonts w:ascii="Arial" w:hAnsi="Arial"/>
      <w:sz w:val="24"/>
    </w:rPr>
  </w:style>
  <w:style w:type="character" w:customStyle="1" w:styleId="EstiloCar">
    <w:name w:val="Estilo Car"/>
    <w:basedOn w:val="Fuentedeprrafopredeter"/>
    <w:link w:val="Estilo"/>
    <w:rsid w:val="000724C8"/>
    <w:rPr>
      <w:rFonts w:ascii="Arial" w:hAnsi="Arial"/>
      <w:sz w:val="24"/>
    </w:rPr>
  </w:style>
  <w:style w:type="character" w:customStyle="1" w:styleId="red1">
    <w:name w:val="red1"/>
    <w:basedOn w:val="Fuentedeprrafopredeter"/>
    <w:rsid w:val="000724C8"/>
    <w:rPr>
      <w:b/>
      <w:bCs/>
      <w:color w:val="0000FF"/>
      <w:shd w:val="clear" w:color="auto" w:fill="FFFF00"/>
    </w:rPr>
  </w:style>
  <w:style w:type="paragraph" w:customStyle="1" w:styleId="CM22">
    <w:name w:val="CM22"/>
    <w:basedOn w:val="Normal"/>
    <w:next w:val="Normal"/>
    <w:uiPriority w:val="99"/>
    <w:rsid w:val="000724C8"/>
    <w:pPr>
      <w:autoSpaceDE w:val="0"/>
      <w:autoSpaceDN w:val="0"/>
      <w:adjustRightInd w:val="0"/>
      <w:spacing w:line="271" w:lineRule="atLeast"/>
    </w:pPr>
    <w:rPr>
      <w:rFonts w:ascii="Optima" w:eastAsiaTheme="minorHAnsi" w:hAnsi="Optima" w:cstheme="minorBidi"/>
      <w:sz w:val="24"/>
      <w:szCs w:val="24"/>
      <w:lang w:eastAsia="en-US"/>
    </w:rPr>
  </w:style>
  <w:style w:type="paragraph" w:customStyle="1" w:styleId="RESMENESOSNTESIS">
    <w:name w:val="RESÚMENES O SÍNTESIS"/>
    <w:basedOn w:val="TEXTONORMAL"/>
    <w:rsid w:val="000724C8"/>
    <w:pPr>
      <w:ind w:left="709" w:firstLine="0"/>
    </w:pPr>
    <w:rPr>
      <w:i/>
      <w:szCs w:val="28"/>
      <w:lang w:val="x-none"/>
    </w:rPr>
  </w:style>
  <w:style w:type="character" w:customStyle="1" w:styleId="corte4fondoCarCarCarCar">
    <w:name w:val="corte4 fondo Car Car Car Car"/>
    <w:basedOn w:val="Fuentedeprrafopredeter"/>
    <w:link w:val="corte4fondoCarCarCar"/>
    <w:locked/>
    <w:rsid w:val="000724C8"/>
    <w:rPr>
      <w:rFonts w:ascii="Arial" w:eastAsia="Times New Roman" w:hAnsi="Arial" w:cs="Arial"/>
      <w:sz w:val="30"/>
      <w:szCs w:val="30"/>
      <w:lang w:eastAsia="es-MX"/>
    </w:rPr>
  </w:style>
  <w:style w:type="paragraph" w:customStyle="1" w:styleId="Cuerpoproyectos">
    <w:name w:val="Cuerpo proyectos"/>
    <w:basedOn w:val="Normal"/>
    <w:link w:val="CuerpoproyectosCar"/>
    <w:qFormat/>
    <w:rsid w:val="000724C8"/>
    <w:pPr>
      <w:spacing w:line="360" w:lineRule="auto"/>
      <w:ind w:firstLine="709"/>
      <w:jc w:val="both"/>
    </w:pPr>
    <w:rPr>
      <w:rFonts w:ascii="Arial" w:hAnsi="Arial" w:cs="Arial"/>
      <w:sz w:val="26"/>
      <w:szCs w:val="26"/>
      <w:lang w:val="es-ES" w:eastAsia="es-ES"/>
    </w:rPr>
  </w:style>
  <w:style w:type="character" w:customStyle="1" w:styleId="CuerpoproyectosCar">
    <w:name w:val="Cuerpo proyectos Car"/>
    <w:link w:val="Cuerpoproyectos"/>
    <w:rsid w:val="000724C8"/>
    <w:rPr>
      <w:rFonts w:ascii="Arial" w:eastAsia="Times New Roman" w:hAnsi="Arial" w:cs="Arial"/>
      <w:sz w:val="26"/>
      <w:szCs w:val="26"/>
      <w:lang w:val="es-ES" w:eastAsia="es-ES"/>
    </w:rPr>
  </w:style>
  <w:style w:type="character" w:customStyle="1" w:styleId="citation">
    <w:name w:val="citation"/>
    <w:basedOn w:val="Fuentedeprrafopredeter"/>
    <w:rsid w:val="000724C8"/>
  </w:style>
  <w:style w:type="character" w:styleId="Refdecomentario">
    <w:name w:val="annotation reference"/>
    <w:basedOn w:val="Fuentedeprrafopredeter"/>
    <w:uiPriority w:val="99"/>
    <w:semiHidden/>
    <w:unhideWhenUsed/>
    <w:rsid w:val="000724C8"/>
    <w:rPr>
      <w:sz w:val="16"/>
      <w:szCs w:val="16"/>
    </w:rPr>
  </w:style>
  <w:style w:type="character" w:customStyle="1" w:styleId="textcolumn">
    <w:name w:val="textcolumn"/>
    <w:basedOn w:val="Fuentedeprrafopredeter"/>
    <w:rsid w:val="000724C8"/>
  </w:style>
  <w:style w:type="paragraph" w:styleId="Textocomentario">
    <w:name w:val="annotation text"/>
    <w:basedOn w:val="Normal"/>
    <w:link w:val="TextocomentarioCar"/>
    <w:uiPriority w:val="99"/>
    <w:unhideWhenUsed/>
    <w:rsid w:val="000724C8"/>
  </w:style>
  <w:style w:type="character" w:customStyle="1" w:styleId="TextocomentarioCar">
    <w:name w:val="Texto comentario Car"/>
    <w:basedOn w:val="Fuentedeprrafopredeter"/>
    <w:link w:val="Textocomentario"/>
    <w:uiPriority w:val="99"/>
    <w:rsid w:val="000724C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24C8"/>
    <w:rPr>
      <w:b/>
      <w:bCs/>
    </w:rPr>
  </w:style>
  <w:style w:type="character" w:customStyle="1" w:styleId="AsuntodelcomentarioCar">
    <w:name w:val="Asunto del comentario Car"/>
    <w:basedOn w:val="TextocomentarioCar"/>
    <w:link w:val="Asuntodelcomentario"/>
    <w:uiPriority w:val="99"/>
    <w:semiHidden/>
    <w:rsid w:val="000724C8"/>
    <w:rPr>
      <w:rFonts w:ascii="Times New Roman" w:eastAsia="Times New Roman" w:hAnsi="Times New Roman" w:cs="Times New Roman"/>
      <w:b/>
      <w:bCs/>
      <w:sz w:val="20"/>
      <w:szCs w:val="20"/>
      <w:lang w:eastAsia="es-MX"/>
    </w:rPr>
  </w:style>
  <w:style w:type="paragraph" w:customStyle="1" w:styleId="Prrafo">
    <w:name w:val="Párrafo"/>
    <w:basedOn w:val="Normal"/>
    <w:qFormat/>
    <w:rsid w:val="000724C8"/>
    <w:pPr>
      <w:spacing w:before="240" w:after="240" w:line="360" w:lineRule="auto"/>
      <w:jc w:val="both"/>
    </w:pPr>
    <w:rPr>
      <w:rFonts w:ascii="Arial" w:eastAsiaTheme="minorHAnsi" w:hAnsi="Arial" w:cs="Arial"/>
      <w:sz w:val="26"/>
      <w:szCs w:val="26"/>
      <w:lang w:eastAsia="en-US"/>
    </w:rPr>
  </w:style>
  <w:style w:type="table" w:styleId="Tablaconcuadrcula">
    <w:name w:val="Table Grid"/>
    <w:basedOn w:val="Tablanormal"/>
    <w:uiPriority w:val="39"/>
    <w:rsid w:val="000724C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724C8"/>
    <w:rPr>
      <w:color w:val="808080"/>
    </w:rPr>
  </w:style>
  <w:style w:type="paragraph" w:styleId="Textoindependiente">
    <w:name w:val="Body Text"/>
    <w:basedOn w:val="Normal"/>
    <w:link w:val="TextoindependienteCar"/>
    <w:uiPriority w:val="99"/>
    <w:unhideWhenUsed/>
    <w:rsid w:val="000724C8"/>
    <w:pPr>
      <w:spacing w:after="120"/>
    </w:pPr>
  </w:style>
  <w:style w:type="character" w:customStyle="1" w:styleId="TextoindependienteCar">
    <w:name w:val="Texto independiente Car"/>
    <w:basedOn w:val="Fuentedeprrafopredeter"/>
    <w:link w:val="Textoindependiente"/>
    <w:uiPriority w:val="99"/>
    <w:rsid w:val="000724C8"/>
    <w:rPr>
      <w:rFonts w:ascii="Times New Roman" w:eastAsia="Times New Roman" w:hAnsi="Times New Roman" w:cs="Times New Roman"/>
      <w:sz w:val="20"/>
      <w:szCs w:val="20"/>
      <w:lang w:eastAsia="es-MX"/>
    </w:rPr>
  </w:style>
  <w:style w:type="character" w:customStyle="1" w:styleId="corte4fondoCarCar2">
    <w:name w:val="corte4 fondo Car Car2"/>
    <w:locked/>
    <w:rsid w:val="000724C8"/>
    <w:rPr>
      <w:rFonts w:ascii="Arial" w:eastAsia="Times New Roman" w:hAnsi="Arial" w:cs="Times New Roman"/>
      <w:sz w:val="3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724C8"/>
    <w:pPr>
      <w:jc w:val="both"/>
    </w:pPr>
    <w:rPr>
      <w:rFonts w:asciiTheme="minorHAnsi" w:eastAsiaTheme="minorHAnsi" w:hAnsiTheme="minorHAnsi" w:cstheme="minorBidi"/>
      <w:sz w:val="22"/>
      <w:szCs w:val="22"/>
      <w:vertAlign w:val="superscript"/>
      <w:lang w:eastAsia="en-US"/>
    </w:rPr>
  </w:style>
  <w:style w:type="character" w:customStyle="1" w:styleId="PrrafodelistaCar">
    <w:name w:val="Párrafo de lista Car"/>
    <w:aliases w:val="Cita texto Car,Footnote Car,List Paragraph1 Car,Colorful List - Accent 11 Car,TEXTO GENERAL SENTENCIAS Car,Cuadrícula clara - Énfasis 31 Car,Párrafo de lista2 Car,PARRAFO Car,Trascripción Car,Cuadrícula media 1 - Énfasis 21 Car"/>
    <w:link w:val="Prrafodelista"/>
    <w:uiPriority w:val="34"/>
    <w:qFormat/>
    <w:rsid w:val="000724C8"/>
    <w:rPr>
      <w:rFonts w:ascii="Times New Roman" w:eastAsia="Times New Roman" w:hAnsi="Times New Roman" w:cs="Times New Roman"/>
      <w:sz w:val="20"/>
      <w:szCs w:val="20"/>
      <w:lang w:eastAsia="es-MX"/>
    </w:rPr>
  </w:style>
  <w:style w:type="character" w:styleId="Mencinsinresolver">
    <w:name w:val="Unresolved Mention"/>
    <w:basedOn w:val="Fuentedeprrafopredeter"/>
    <w:uiPriority w:val="99"/>
    <w:semiHidden/>
    <w:unhideWhenUsed/>
    <w:rsid w:val="000724C8"/>
    <w:rPr>
      <w:color w:val="605E5C"/>
      <w:shd w:val="clear" w:color="auto" w:fill="E1DFDD"/>
    </w:rPr>
  </w:style>
  <w:style w:type="character" w:customStyle="1" w:styleId="red">
    <w:name w:val="red"/>
    <w:rsid w:val="000724C8"/>
  </w:style>
  <w:style w:type="paragraph" w:styleId="Citadestacada">
    <w:name w:val="Intense Quote"/>
    <w:basedOn w:val="Normal"/>
    <w:next w:val="Normal"/>
    <w:link w:val="CitadestacadaCar"/>
    <w:uiPriority w:val="30"/>
    <w:qFormat/>
    <w:rsid w:val="008160F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lang w:eastAsia="en-US"/>
    </w:rPr>
  </w:style>
  <w:style w:type="character" w:customStyle="1" w:styleId="CitadestacadaCar">
    <w:name w:val="Cita destacada Car"/>
    <w:basedOn w:val="Fuentedeprrafopredeter"/>
    <w:link w:val="Citadestacada"/>
    <w:uiPriority w:val="30"/>
    <w:rsid w:val="008160FF"/>
    <w:rPr>
      <w:b/>
      <w:bCs/>
      <w:i/>
      <w:iCs/>
      <w:color w:val="4472C4" w:themeColor="accent1"/>
    </w:rPr>
  </w:style>
  <w:style w:type="character" w:styleId="Hipervnculovisitado">
    <w:name w:val="FollowedHyperlink"/>
    <w:basedOn w:val="Fuentedeprrafopredeter"/>
    <w:uiPriority w:val="99"/>
    <w:semiHidden/>
    <w:unhideWhenUsed/>
    <w:rsid w:val="00FC4DBD"/>
    <w:rPr>
      <w:color w:val="954F72" w:themeColor="followedHyperlink"/>
      <w:u w:val="single"/>
    </w:rPr>
  </w:style>
  <w:style w:type="paragraph" w:customStyle="1" w:styleId="Corte4fondo0">
    <w:name w:val="Corte 4 fondo"/>
    <w:basedOn w:val="Normal"/>
    <w:qFormat/>
    <w:rsid w:val="00CA3A5C"/>
    <w:pPr>
      <w:spacing w:line="360" w:lineRule="auto"/>
      <w:ind w:firstLine="709"/>
      <w:jc w:val="both"/>
    </w:pPr>
    <w:rPr>
      <w:rFonts w:ascii="Arial" w:eastAsia="Calibri" w:hAnsi="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1787/9789264241176-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3.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yes-mx.com/ley_del_impuesto_sobre_la_renta/2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AYDW7MS43XSZ-237423774-500582</_dlc_DocId>
    <_dlc_DocIdUrl xmlns="69ffee90-265c-465f-a70b-47d3979e4ae6">
      <Url>https://ciatorg.sharepoint.com/sites/cds/_layouts/15/DocIdRedir.aspx?ID=AYDW7MS43XSZ-237423774-500582</Url>
      <Description>AYDW7MS43XSZ-237423774-500582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C7B1-7A60-412D-B90D-CD07C01AC603}"/>
</file>

<file path=customXml/itemProps2.xml><?xml version="1.0" encoding="utf-8"?>
<ds:datastoreItem xmlns:ds="http://schemas.openxmlformats.org/officeDocument/2006/customXml" ds:itemID="{8E6C7154-5B56-41D2-8A39-7E97FE788CFA}">
  <ds:schemaRefs>
    <ds:schemaRef ds:uri="http://schemas.microsoft.com/sharepoint/v3/contenttype/forms"/>
  </ds:schemaRefs>
</ds:datastoreItem>
</file>

<file path=customXml/itemProps3.xml><?xml version="1.0" encoding="utf-8"?>
<ds:datastoreItem xmlns:ds="http://schemas.openxmlformats.org/officeDocument/2006/customXml" ds:itemID="{EEA0C2F2-895A-4F72-90F0-281D31BD8909}">
  <ds:schemaRefs>
    <ds:schemaRef ds:uri="http://schemas.microsoft.com/office/2006/metadata/properties"/>
    <ds:schemaRef ds:uri="http://schemas.microsoft.com/office/infopath/2007/PartnerControls"/>
    <ds:schemaRef ds:uri="http://schemas.microsoft.com/sharepoint/v3"/>
    <ds:schemaRef ds:uri="68a160cd-ed63-4a95-bc0c-59b4fccbeab8"/>
    <ds:schemaRef ds:uri="69ffee90-265c-465f-a70b-47d3979e4ae6"/>
  </ds:schemaRefs>
</ds:datastoreItem>
</file>

<file path=customXml/itemProps4.xml><?xml version="1.0" encoding="utf-8"?>
<ds:datastoreItem xmlns:ds="http://schemas.openxmlformats.org/officeDocument/2006/customXml" ds:itemID="{5DE081DF-F683-4960-BA90-F03E068003DC}">
  <ds:schemaRefs>
    <ds:schemaRef ds:uri="http://schemas.microsoft.com/sharepoint/events"/>
  </ds:schemaRefs>
</ds:datastoreItem>
</file>

<file path=customXml/itemProps5.xml><?xml version="1.0" encoding="utf-8"?>
<ds:datastoreItem xmlns:ds="http://schemas.openxmlformats.org/officeDocument/2006/customXml" ds:itemID="{3F84E72F-8CD5-446C-B74B-A15ABC29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67</Pages>
  <Words>20870</Words>
  <Characters>110403</Characters>
  <Application>Microsoft Office Word</Application>
  <DocSecurity>0</DocSecurity>
  <Lines>2453</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TORRES SANCHEZ</dc:creator>
  <cp:keywords/>
  <dc:description/>
  <cp:lastModifiedBy>Victor Vargas</cp:lastModifiedBy>
  <cp:revision>22</cp:revision>
  <dcterms:created xsi:type="dcterms:W3CDTF">2022-08-09T22:35:00Z</dcterms:created>
  <dcterms:modified xsi:type="dcterms:W3CDTF">2026-02-23T17:14:00Z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8c5d9cfd-4db6-4619-94e6-86deb6dad8c0</vt:lpwstr>
  </property>
  <property fmtid="{D5CDD505-2E9C-101B-9397-08002B2CF9AE}" pid="4" name="MediaServiceImageTags">
    <vt:lpwstr/>
  </property>
</Properties>
</file>