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882A" w14:textId="400F15A9" w:rsidR="00E7186E" w:rsidRPr="00317159" w:rsidRDefault="00E7186E" w:rsidP="00F957FC">
      <w:pPr>
        <w:rPr>
          <w:rFonts w:ascii="Arial" w:hAnsi="Arial" w:cs="Arial"/>
        </w:rPr>
      </w:pPr>
      <w:r w:rsidRPr="00E7186E">
        <w:rPr>
          <w:rFonts w:ascii="Arial" w:hAnsi="Arial" w:cs="Arial"/>
        </w:rPr>
        <w:t>2014227</w:t>
      </w:r>
    </w:p>
    <w:p w14:paraId="5F59C740" w14:textId="77777777" w:rsidR="00F957FC" w:rsidRPr="00D344ED" w:rsidRDefault="00F957FC" w:rsidP="00F957FC">
      <w:pPr>
        <w:rPr>
          <w:rFonts w:ascii="Arial" w:hAnsi="Arial" w:cs="Arial"/>
          <w:b/>
          <w:bCs/>
        </w:rPr>
      </w:pPr>
    </w:p>
    <w:tbl>
      <w:tblPr>
        <w:tblStyle w:val="Tablaconcuadrcula"/>
        <w:tblW w:w="17289" w:type="dxa"/>
        <w:tblLook w:val="04A0" w:firstRow="1" w:lastRow="0" w:firstColumn="1" w:lastColumn="0" w:noHBand="0" w:noVBand="1"/>
      </w:tblPr>
      <w:tblGrid>
        <w:gridCol w:w="5098"/>
        <w:gridCol w:w="1276"/>
        <w:gridCol w:w="10915"/>
      </w:tblGrid>
      <w:tr w:rsidR="00F957FC" w:rsidRPr="00D344ED" w14:paraId="270BB383" w14:textId="77777777" w:rsidTr="03AB39B1">
        <w:tc>
          <w:tcPr>
            <w:tcW w:w="5098" w:type="dxa"/>
            <w:shd w:val="clear" w:color="auto" w:fill="BFBFBF" w:themeFill="background1" w:themeFillShade="BF"/>
          </w:tcPr>
          <w:p w14:paraId="123DD92A" w14:textId="77777777" w:rsidR="00F957FC" w:rsidRPr="00D344ED" w:rsidRDefault="00F957FC">
            <w:pPr>
              <w:rPr>
                <w:rFonts w:ascii="Arial" w:hAnsi="Arial" w:cs="Arial"/>
                <w:b/>
                <w:bCs/>
              </w:rPr>
            </w:pPr>
            <w:r w:rsidRPr="00D344ED">
              <w:rPr>
                <w:rFonts w:ascii="Arial" w:hAnsi="Arial" w:cs="Arial"/>
                <w:b/>
                <w:bCs/>
              </w:rPr>
              <w:t>Aspecto</w:t>
            </w:r>
          </w:p>
        </w:tc>
        <w:tc>
          <w:tcPr>
            <w:tcW w:w="12191" w:type="dxa"/>
            <w:gridSpan w:val="2"/>
            <w:shd w:val="clear" w:color="auto" w:fill="BFBFBF" w:themeFill="background1" w:themeFillShade="BF"/>
          </w:tcPr>
          <w:p w14:paraId="69C0DDD9" w14:textId="77777777" w:rsidR="00F957FC" w:rsidRPr="00D344ED" w:rsidRDefault="00F957FC">
            <w:pPr>
              <w:rPr>
                <w:rFonts w:ascii="Arial" w:hAnsi="Arial" w:cs="Arial"/>
                <w:b/>
                <w:bCs/>
              </w:rPr>
            </w:pPr>
            <w:r w:rsidRPr="00D344ED">
              <w:rPr>
                <w:rFonts w:ascii="Arial" w:hAnsi="Arial" w:cs="Arial"/>
                <w:b/>
                <w:bCs/>
              </w:rPr>
              <w:t>Descripción (breve)</w:t>
            </w:r>
          </w:p>
        </w:tc>
      </w:tr>
      <w:tr w:rsidR="00F957FC" w:rsidRPr="00D344ED" w14:paraId="00436200" w14:textId="77777777" w:rsidTr="03AB39B1">
        <w:trPr>
          <w:trHeight w:val="255"/>
        </w:trPr>
        <w:tc>
          <w:tcPr>
            <w:tcW w:w="5098" w:type="dxa"/>
          </w:tcPr>
          <w:p w14:paraId="06F26EBA" w14:textId="4B5BE9BD" w:rsidR="00F957FC" w:rsidRPr="00D344ED" w:rsidRDefault="00015D83">
            <w:pPr>
              <w:rPr>
                <w:rFonts w:ascii="Arial" w:hAnsi="Arial" w:cs="Arial"/>
              </w:rPr>
            </w:pPr>
            <w:r>
              <w:rPr>
                <w:rFonts w:ascii="Arial" w:hAnsi="Arial" w:cs="Arial"/>
              </w:rPr>
              <w:t>Criterio</w:t>
            </w:r>
          </w:p>
        </w:tc>
        <w:tc>
          <w:tcPr>
            <w:tcW w:w="12191" w:type="dxa"/>
            <w:gridSpan w:val="2"/>
          </w:tcPr>
          <w:p w14:paraId="1D8E89A6" w14:textId="7E230AF8" w:rsidR="00F957FC" w:rsidRPr="00981C49" w:rsidRDefault="00981C49" w:rsidP="00015D83">
            <w:pPr>
              <w:jc w:val="both"/>
              <w:rPr>
                <w:rFonts w:ascii="Arial" w:hAnsi="Arial" w:cs="Arial"/>
              </w:rPr>
            </w:pPr>
            <w:r w:rsidRPr="00981C49">
              <w:rPr>
                <w:rFonts w:ascii="Arial" w:hAnsi="Arial" w:cs="Arial"/>
              </w:rPr>
              <w:t xml:space="preserve">Declaraciones Informativas </w:t>
            </w:r>
            <w:r>
              <w:rPr>
                <w:rFonts w:ascii="Arial" w:hAnsi="Arial" w:cs="Arial"/>
              </w:rPr>
              <w:t>d</w:t>
            </w:r>
            <w:r w:rsidRPr="00981C49">
              <w:rPr>
                <w:rFonts w:ascii="Arial" w:hAnsi="Arial" w:cs="Arial"/>
              </w:rPr>
              <w:t>e Partes Relacionadas. E</w:t>
            </w:r>
            <w:r>
              <w:rPr>
                <w:rFonts w:ascii="Arial" w:hAnsi="Arial" w:cs="Arial"/>
              </w:rPr>
              <w:t>s</w:t>
            </w:r>
            <w:r w:rsidRPr="00981C49">
              <w:rPr>
                <w:rFonts w:ascii="Arial" w:hAnsi="Arial" w:cs="Arial"/>
              </w:rPr>
              <w:t xml:space="preserve"> improcedente el juicio de amparo indirecto contra el acuerdo multilateral entre autoridades competentes sobre el intercambio de reportes país por país, en tanto no contiene supuestos normativos aplicables directamente a los contribuyentes</w:t>
            </w:r>
            <w:r>
              <w:rPr>
                <w:rFonts w:ascii="Arial" w:hAnsi="Arial" w:cs="Arial"/>
              </w:rPr>
              <w:t>.</w:t>
            </w:r>
          </w:p>
        </w:tc>
      </w:tr>
      <w:tr w:rsidR="00015D83" w:rsidRPr="00D344ED" w14:paraId="595EC638" w14:textId="77777777" w:rsidTr="03AB39B1">
        <w:trPr>
          <w:trHeight w:val="300"/>
        </w:trPr>
        <w:tc>
          <w:tcPr>
            <w:tcW w:w="5098" w:type="dxa"/>
          </w:tcPr>
          <w:p w14:paraId="5D04BD2B" w14:textId="4CAC889D" w:rsidR="00015D83" w:rsidRDefault="00015D83" w:rsidP="00015D83">
            <w:pPr>
              <w:rPr>
                <w:rFonts w:ascii="Arial" w:hAnsi="Arial" w:cs="Arial"/>
              </w:rPr>
            </w:pPr>
            <w:r w:rsidRPr="00D344ED">
              <w:rPr>
                <w:rFonts w:ascii="Arial" w:hAnsi="Arial" w:cs="Arial"/>
              </w:rPr>
              <w:t>País</w:t>
            </w:r>
          </w:p>
        </w:tc>
        <w:tc>
          <w:tcPr>
            <w:tcW w:w="12191" w:type="dxa"/>
            <w:gridSpan w:val="2"/>
          </w:tcPr>
          <w:p w14:paraId="19D9F37D" w14:textId="4F33EC7F" w:rsidR="00015D83" w:rsidRDefault="00015D83" w:rsidP="00015D83">
            <w:pPr>
              <w:rPr>
                <w:rFonts w:ascii="Arial" w:hAnsi="Arial" w:cs="Arial"/>
              </w:rPr>
            </w:pPr>
            <w:r>
              <w:rPr>
                <w:rFonts w:ascii="Arial" w:hAnsi="Arial" w:cs="Arial"/>
              </w:rPr>
              <w:t>México</w:t>
            </w:r>
          </w:p>
        </w:tc>
      </w:tr>
      <w:tr w:rsidR="00F957FC" w:rsidRPr="00D344ED" w14:paraId="175CCED6" w14:textId="77777777" w:rsidTr="03AB39B1">
        <w:tc>
          <w:tcPr>
            <w:tcW w:w="5098" w:type="dxa"/>
            <w:vMerge w:val="restart"/>
          </w:tcPr>
          <w:p w14:paraId="3413526C" w14:textId="77777777" w:rsidR="00F957FC" w:rsidRPr="00D344ED" w:rsidRDefault="00F957FC">
            <w:pPr>
              <w:rPr>
                <w:rFonts w:ascii="Arial" w:hAnsi="Arial" w:cs="Arial"/>
              </w:rPr>
            </w:pPr>
            <w:r w:rsidRPr="00D344ED">
              <w:rPr>
                <w:rFonts w:ascii="Arial" w:hAnsi="Arial" w:cs="Arial"/>
              </w:rPr>
              <w:t>Tipo de renta</w:t>
            </w:r>
          </w:p>
        </w:tc>
        <w:sdt>
          <w:sdtPr>
            <w:rPr>
              <w:rFonts w:ascii="Arial" w:hAnsi="Arial" w:cs="Arial"/>
            </w:rPr>
            <w:alias w:val="Tipo de renta/transacción"/>
            <w:tag w:val="Tipo de renta/transacción"/>
            <w:id w:val="856625602"/>
            <w:lock w:val="sdtLocked"/>
            <w:placeholder>
              <w:docPart w:val="5C228B3552524F67BF513D9ABFA016F9"/>
            </w:placeholder>
            <w:dropDownList>
              <w:listItem w:displayText="Selección" w:value="Selección"/>
              <w:listItem w:displayText="Intereses" w:value="Intereses"/>
              <w:listItem w:displayText="Dividendos" w:value="Dividendos"/>
              <w:listItem w:displayText="Regalías" w:value="Regalías"/>
              <w:listItem w:displayText="Otras ganancias de capital" w:value="Otras ganancias de capital"/>
              <w:listItem w:displayText="Tipo de renta en discusión" w:value="Tipo de renta en discusión"/>
            </w:dropDownList>
          </w:sdtPr>
          <w:sdtContent>
            <w:tc>
              <w:tcPr>
                <w:tcW w:w="12191" w:type="dxa"/>
                <w:gridSpan w:val="2"/>
              </w:tcPr>
              <w:p w14:paraId="644DCA75" w14:textId="659234C8" w:rsidR="00F957FC" w:rsidRPr="00D344ED" w:rsidRDefault="00D034AC">
                <w:pPr>
                  <w:rPr>
                    <w:rFonts w:ascii="Arial" w:hAnsi="Arial" w:cs="Arial"/>
                  </w:rPr>
                </w:pPr>
                <w:r>
                  <w:rPr>
                    <w:rFonts w:ascii="Arial" w:hAnsi="Arial" w:cs="Arial"/>
                  </w:rPr>
                  <w:t>Selección</w:t>
                </w:r>
              </w:p>
            </w:tc>
          </w:sdtContent>
        </w:sdt>
      </w:tr>
      <w:tr w:rsidR="00F957FC" w:rsidRPr="00D344ED" w14:paraId="06A5ADB6" w14:textId="77777777" w:rsidTr="03AB39B1">
        <w:tc>
          <w:tcPr>
            <w:tcW w:w="5098" w:type="dxa"/>
            <w:vMerge/>
          </w:tcPr>
          <w:p w14:paraId="5E77A389" w14:textId="77777777" w:rsidR="00F957FC" w:rsidRPr="00D344ED" w:rsidRDefault="00F957FC">
            <w:pPr>
              <w:rPr>
                <w:rFonts w:ascii="Arial" w:hAnsi="Arial" w:cs="Arial"/>
              </w:rPr>
            </w:pPr>
          </w:p>
        </w:tc>
        <w:tc>
          <w:tcPr>
            <w:tcW w:w="12191" w:type="dxa"/>
            <w:gridSpan w:val="2"/>
          </w:tcPr>
          <w:p w14:paraId="2EC996A9" w14:textId="731BE097" w:rsidR="00F957FC" w:rsidRPr="00D344ED" w:rsidRDefault="00F957FC">
            <w:pPr>
              <w:rPr>
                <w:rFonts w:ascii="Arial" w:hAnsi="Arial" w:cs="Arial"/>
              </w:rPr>
            </w:pPr>
            <w:r w:rsidRPr="00D344ED">
              <w:rPr>
                <w:rFonts w:ascii="Arial" w:hAnsi="Arial" w:cs="Arial"/>
              </w:rPr>
              <w:t>Otros:</w:t>
            </w:r>
            <w:r w:rsidR="00E03D08">
              <w:rPr>
                <w:rFonts w:ascii="Arial" w:hAnsi="Arial" w:cs="Arial"/>
              </w:rPr>
              <w:t xml:space="preserve"> </w:t>
            </w:r>
            <w:r w:rsidR="00D034AC">
              <w:rPr>
                <w:rFonts w:ascii="Arial" w:hAnsi="Arial" w:cs="Arial"/>
              </w:rPr>
              <w:t>Obligaciones de contribuyentes que realizan operaciones con partes relacionadas</w:t>
            </w:r>
            <w:r w:rsidR="003175F2">
              <w:rPr>
                <w:rFonts w:ascii="Arial" w:hAnsi="Arial" w:cs="Arial"/>
              </w:rPr>
              <w:t>.</w:t>
            </w:r>
          </w:p>
        </w:tc>
      </w:tr>
      <w:tr w:rsidR="00B419E5" w:rsidRPr="00D344ED" w14:paraId="447ACA77" w14:textId="77777777" w:rsidTr="03AB39B1">
        <w:tc>
          <w:tcPr>
            <w:tcW w:w="5098" w:type="dxa"/>
          </w:tcPr>
          <w:p w14:paraId="1D05CA34" w14:textId="77777777" w:rsidR="00B419E5" w:rsidRPr="00D344ED" w:rsidRDefault="00B419E5" w:rsidP="00B419E5">
            <w:pPr>
              <w:rPr>
                <w:rFonts w:ascii="Arial" w:hAnsi="Arial" w:cs="Arial"/>
              </w:rPr>
            </w:pPr>
            <w:r w:rsidRPr="00D344ED">
              <w:rPr>
                <w:rFonts w:ascii="Arial" w:hAnsi="Arial" w:cs="Arial"/>
              </w:rPr>
              <w:t>Maniobra</w:t>
            </w:r>
          </w:p>
        </w:tc>
        <w:tc>
          <w:tcPr>
            <w:tcW w:w="12191" w:type="dxa"/>
            <w:gridSpan w:val="2"/>
          </w:tcPr>
          <w:p w14:paraId="022AF161" w14:textId="0F840927" w:rsidR="00B419E5" w:rsidRPr="00D344ED" w:rsidRDefault="00D17031" w:rsidP="00B419E5">
            <w:pPr>
              <w:rPr>
                <w:rFonts w:ascii="Arial" w:hAnsi="Arial" w:cs="Arial"/>
              </w:rPr>
            </w:pPr>
            <w:r>
              <w:rPr>
                <w:rFonts w:ascii="Arial" w:hAnsi="Arial" w:cs="Arial"/>
              </w:rPr>
              <w:t>Interposición de medios de defensa</w:t>
            </w:r>
            <w:r w:rsidR="00B419E5">
              <w:rPr>
                <w:rFonts w:ascii="Arial" w:hAnsi="Arial" w:cs="Arial"/>
              </w:rPr>
              <w:t>.</w:t>
            </w:r>
          </w:p>
        </w:tc>
      </w:tr>
      <w:tr w:rsidR="00B419E5" w:rsidRPr="00D344ED" w14:paraId="146CBE81" w14:textId="77777777" w:rsidTr="03AB39B1">
        <w:tc>
          <w:tcPr>
            <w:tcW w:w="5098" w:type="dxa"/>
          </w:tcPr>
          <w:p w14:paraId="35B601DD" w14:textId="77777777" w:rsidR="00B419E5" w:rsidRPr="00D344ED" w:rsidRDefault="00B419E5" w:rsidP="00B419E5">
            <w:pPr>
              <w:rPr>
                <w:rFonts w:ascii="Arial" w:hAnsi="Arial" w:cs="Arial"/>
              </w:rPr>
            </w:pPr>
            <w:r w:rsidRPr="00D344ED">
              <w:rPr>
                <w:rFonts w:ascii="Arial" w:hAnsi="Arial" w:cs="Arial"/>
              </w:rPr>
              <w:t>Normas Involucradas</w:t>
            </w:r>
          </w:p>
        </w:tc>
        <w:tc>
          <w:tcPr>
            <w:tcW w:w="12191" w:type="dxa"/>
            <w:gridSpan w:val="2"/>
          </w:tcPr>
          <w:p w14:paraId="727037FF" w14:textId="77777777" w:rsidR="00B419E5" w:rsidRDefault="00E03D08" w:rsidP="00B419E5">
            <w:pPr>
              <w:rPr>
                <w:rFonts w:ascii="Arial" w:hAnsi="Arial" w:cs="Arial"/>
              </w:rPr>
            </w:pPr>
            <w:r>
              <w:rPr>
                <w:rFonts w:ascii="Arial" w:hAnsi="Arial" w:cs="Arial"/>
              </w:rPr>
              <w:t>Artículo</w:t>
            </w:r>
            <w:r w:rsidR="00D17031">
              <w:rPr>
                <w:rFonts w:ascii="Arial" w:hAnsi="Arial" w:cs="Arial"/>
              </w:rPr>
              <w:t xml:space="preserve"> 61, fracción XXIII, en relación con los diversos 77 y 78 de la Ley de Amparo</w:t>
            </w:r>
            <w:r w:rsidR="00B419E5">
              <w:rPr>
                <w:rFonts w:ascii="Arial" w:hAnsi="Arial" w:cs="Arial"/>
              </w:rPr>
              <w:t xml:space="preserve">.  </w:t>
            </w:r>
          </w:p>
          <w:p w14:paraId="22724278" w14:textId="6D71DB89" w:rsidR="00576A91" w:rsidRPr="00D344ED" w:rsidRDefault="007238D2" w:rsidP="007238D2">
            <w:pPr>
              <w:jc w:val="both"/>
              <w:rPr>
                <w:rFonts w:ascii="Arial" w:hAnsi="Arial" w:cs="Arial"/>
              </w:rPr>
            </w:pPr>
            <w:hyperlink r:id="rId11" w:history="1">
              <w:r w:rsidRPr="007238D2">
                <w:rPr>
                  <w:rStyle w:val="Hipervnculo"/>
                  <w:rFonts w:ascii="Arial" w:hAnsi="Arial" w:cs="Arial"/>
                </w:rPr>
                <w:t>Ley de Amparo, Reglamentaria de los artículos 103 y 107 de la Constitución Política de los Estados Unidos Mexicanos (www.gob.mx)</w:t>
              </w:r>
            </w:hyperlink>
            <w:r>
              <w:rPr>
                <w:rFonts w:ascii="Arial" w:hAnsi="Arial" w:cs="Arial"/>
              </w:rPr>
              <w:t xml:space="preserve"> </w:t>
            </w:r>
          </w:p>
        </w:tc>
      </w:tr>
      <w:tr w:rsidR="00B419E5" w:rsidRPr="00D344ED" w14:paraId="017A32F2" w14:textId="77777777" w:rsidTr="03AB39B1">
        <w:tc>
          <w:tcPr>
            <w:tcW w:w="5098" w:type="dxa"/>
          </w:tcPr>
          <w:p w14:paraId="2AD5043A" w14:textId="77777777" w:rsidR="00B419E5" w:rsidRPr="00D344ED" w:rsidRDefault="00B419E5" w:rsidP="00B419E5">
            <w:pPr>
              <w:rPr>
                <w:rFonts w:ascii="Arial" w:hAnsi="Arial" w:cs="Arial"/>
              </w:rPr>
            </w:pPr>
            <w:r w:rsidRPr="00D344ED">
              <w:rPr>
                <w:rFonts w:ascii="Arial" w:hAnsi="Arial" w:cs="Arial"/>
              </w:rPr>
              <w:t xml:space="preserve">Norma </w:t>
            </w:r>
            <w:proofErr w:type="spellStart"/>
            <w:r w:rsidRPr="00D344ED">
              <w:rPr>
                <w:rFonts w:ascii="Arial" w:hAnsi="Arial" w:cs="Arial"/>
              </w:rPr>
              <w:t>anti-abuso</w:t>
            </w:r>
            <w:proofErr w:type="spellEnd"/>
            <w:r w:rsidRPr="00D344ED">
              <w:rPr>
                <w:rFonts w:ascii="Arial" w:hAnsi="Arial" w:cs="Arial"/>
              </w:rPr>
              <w:t xml:space="preserve"> utilizada</w:t>
            </w:r>
          </w:p>
        </w:tc>
        <w:tc>
          <w:tcPr>
            <w:tcW w:w="1276" w:type="dxa"/>
            <w:tcBorders>
              <w:right w:val="nil"/>
            </w:tcBorders>
          </w:tcPr>
          <w:p w14:paraId="4357819D" w14:textId="314606EB" w:rsidR="00B419E5" w:rsidRPr="00D344ED" w:rsidRDefault="00000000" w:rsidP="00B419E5">
            <w:pPr>
              <w:tabs>
                <w:tab w:val="left" w:pos="1395"/>
              </w:tabs>
              <w:rPr>
                <w:rFonts w:ascii="Arial" w:hAnsi="Arial" w:cs="Arial"/>
              </w:rPr>
            </w:pPr>
            <w:sdt>
              <w:sdtPr>
                <w:rPr>
                  <w:rFonts w:ascii="Arial" w:hAnsi="Arial" w:cs="Arial"/>
                </w:rPr>
                <w:alias w:val="Norma anti abuso"/>
                <w:tag w:val="Norma anti abuso"/>
                <w:id w:val="-2053756185"/>
                <w:lock w:val="sdtLocked"/>
                <w:placeholder>
                  <w:docPart w:val="1BE2AC717F954F03B05A2A95EAE3DA0D"/>
                </w:placeholder>
                <w:dropDownList>
                  <w:listItem w:displayText="Selección" w:value="Selección"/>
                  <w:listItem w:displayText="GAAR" w:value="GAAR"/>
                  <w:listItem w:displayText="SAAR" w:value="SAAR"/>
                </w:dropDownList>
              </w:sdtPr>
              <w:sdtContent>
                <w:r w:rsidR="00B419E5">
                  <w:rPr>
                    <w:rFonts w:ascii="Arial" w:hAnsi="Arial" w:cs="Arial"/>
                  </w:rPr>
                  <w:t>Selección</w:t>
                </w:r>
              </w:sdtContent>
            </w:sdt>
            <w:r w:rsidR="00B419E5" w:rsidRPr="00D344ED">
              <w:rPr>
                <w:rFonts w:ascii="Arial" w:hAnsi="Arial" w:cs="Arial"/>
              </w:rPr>
              <w:t xml:space="preserve"> </w:t>
            </w:r>
          </w:p>
        </w:tc>
        <w:tc>
          <w:tcPr>
            <w:tcW w:w="10915" w:type="dxa"/>
            <w:tcBorders>
              <w:left w:val="nil"/>
            </w:tcBorders>
          </w:tcPr>
          <w:p w14:paraId="490FE2BC" w14:textId="605D04F1" w:rsidR="00B419E5" w:rsidRPr="00D344ED" w:rsidRDefault="00D17031" w:rsidP="00B419E5">
            <w:pPr>
              <w:tabs>
                <w:tab w:val="left" w:pos="1395"/>
              </w:tabs>
              <w:rPr>
                <w:rFonts w:ascii="Arial" w:hAnsi="Arial" w:cs="Arial"/>
                <w:i/>
                <w:iCs/>
              </w:rPr>
            </w:pPr>
            <w:r>
              <w:rPr>
                <w:rFonts w:ascii="Arial" w:hAnsi="Arial" w:cs="Arial"/>
                <w:iCs/>
              </w:rPr>
              <w:t xml:space="preserve">Criterio del Tribunal </w:t>
            </w:r>
            <w:r w:rsidR="00D034AC">
              <w:rPr>
                <w:rFonts w:ascii="Arial" w:hAnsi="Arial" w:cs="Arial"/>
                <w:iCs/>
              </w:rPr>
              <w:t>que determina</w:t>
            </w:r>
            <w:r>
              <w:rPr>
                <w:rFonts w:ascii="Arial" w:hAnsi="Arial" w:cs="Arial"/>
                <w:iCs/>
              </w:rPr>
              <w:t xml:space="preserve"> la procedencia de medios de defensa</w:t>
            </w:r>
            <w:r w:rsidR="00B419E5">
              <w:rPr>
                <w:rFonts w:ascii="Arial" w:hAnsi="Arial" w:cs="Arial"/>
                <w:iCs/>
              </w:rPr>
              <w:t>.</w:t>
            </w:r>
          </w:p>
        </w:tc>
      </w:tr>
      <w:tr w:rsidR="00B419E5" w:rsidRPr="00D344ED" w14:paraId="2356E2A5" w14:textId="77777777" w:rsidTr="03AB39B1">
        <w:tc>
          <w:tcPr>
            <w:tcW w:w="5098" w:type="dxa"/>
          </w:tcPr>
          <w:p w14:paraId="48012FED" w14:textId="77777777" w:rsidR="00B419E5" w:rsidRPr="00D344ED" w:rsidRDefault="00B419E5" w:rsidP="00B419E5">
            <w:pPr>
              <w:rPr>
                <w:rFonts w:ascii="Arial" w:hAnsi="Arial" w:cs="Arial"/>
              </w:rPr>
            </w:pPr>
            <w:r w:rsidRPr="00D344ED">
              <w:rPr>
                <w:rFonts w:ascii="Arial" w:hAnsi="Arial" w:cs="Arial"/>
              </w:rPr>
              <w:t>Mecanismo o instancia de resolución de casos</w:t>
            </w:r>
          </w:p>
        </w:tc>
        <w:tc>
          <w:tcPr>
            <w:tcW w:w="12191" w:type="dxa"/>
            <w:gridSpan w:val="2"/>
          </w:tcPr>
          <w:p w14:paraId="709871E9" w14:textId="28AAC29D" w:rsidR="00B419E5" w:rsidRPr="00D344ED" w:rsidRDefault="00000000" w:rsidP="00B419E5">
            <w:pPr>
              <w:rPr>
                <w:rFonts w:ascii="Arial" w:hAnsi="Arial" w:cs="Arial"/>
              </w:rPr>
            </w:pPr>
            <w:sdt>
              <w:sdtPr>
                <w:rPr>
                  <w:rFonts w:ascii="Arial" w:hAnsi="Arial" w:cs="Arial"/>
                </w:rPr>
                <w:alias w:val="Mecanismo o instancia de resolución de casos"/>
                <w:tag w:val="Mecanismo o instancia de resolución de casos"/>
                <w:id w:val="683785399"/>
                <w:lock w:val="sdtLocked"/>
                <w:placeholder>
                  <w:docPart w:val="365E5ACD29DC4779BF2F865982EC4442"/>
                </w:placeholder>
                <w:dropDownList>
                  <w:listItem w:displayText="Selección" w:value="Selección"/>
                  <w:listItem w:displayText="Métodos Alternativos de Resolución de Conflictos" w:value="Métodos Alternativos de Resolución de Conflictos"/>
                  <w:listItem w:displayText="Sede Judicial" w:value="Sede Judicial"/>
                  <w:listItem w:displayText="Sede No Judicial" w:value="Sede No Judicial"/>
                  <w:listItem w:displayText="Otros" w:value="Otros"/>
                </w:dropDownList>
              </w:sdtPr>
              <w:sdtContent>
                <w:r w:rsidR="00B419E5">
                  <w:rPr>
                    <w:rFonts w:ascii="Arial" w:hAnsi="Arial" w:cs="Arial"/>
                  </w:rPr>
                  <w:t>Sede Judicial</w:t>
                </w:r>
              </w:sdtContent>
            </w:sdt>
          </w:p>
        </w:tc>
      </w:tr>
      <w:tr w:rsidR="00B419E5" w:rsidRPr="00D344ED" w14:paraId="46FFF175" w14:textId="77777777" w:rsidTr="03AB39B1">
        <w:tc>
          <w:tcPr>
            <w:tcW w:w="5098" w:type="dxa"/>
          </w:tcPr>
          <w:p w14:paraId="5741961A" w14:textId="6E3B13C7" w:rsidR="00B419E5" w:rsidRPr="00D344ED" w:rsidRDefault="00B419E5" w:rsidP="00B419E5">
            <w:pPr>
              <w:rPr>
                <w:rFonts w:ascii="Arial" w:hAnsi="Arial" w:cs="Arial"/>
              </w:rPr>
            </w:pPr>
            <w:r>
              <w:rPr>
                <w:rFonts w:ascii="Arial" w:hAnsi="Arial" w:cs="Arial"/>
              </w:rPr>
              <w:t>S</w:t>
            </w:r>
            <w:r w:rsidRPr="00D344ED">
              <w:rPr>
                <w:rFonts w:ascii="Arial" w:hAnsi="Arial" w:cs="Arial"/>
              </w:rPr>
              <w:t>ector económico</w:t>
            </w:r>
          </w:p>
        </w:tc>
        <w:sdt>
          <w:sdtPr>
            <w:rPr>
              <w:rFonts w:ascii="Arial" w:hAnsi="Arial" w:cs="Arial"/>
            </w:rPr>
            <w:alias w:val="Actividad por Sector Económico"/>
            <w:tag w:val="Actividad por Sector Económico"/>
            <w:id w:val="524987295"/>
            <w:lock w:val="sdtLocked"/>
            <w:placeholder>
              <w:docPart w:val="A2C9E9ADBD684FF081ACB195DE02C1B7"/>
            </w:placeholder>
            <w:dropDownList>
              <w:listItem w:displayText="Selección" w:value="Selección"/>
              <w:listItem w:displayText="Agricultura, Silvicultura, Caza y Pesca" w:value="Agricultura, Silvicultura, Caza y Pesca"/>
              <w:listItem w:displayText="Minería, Canteras y Extracción de Petróleo y Gas" w:value="Minería, Canteras y Extracción de Petróleo y Gas"/>
              <w:listItem w:displayText="Construcción" w:value="Construcción"/>
              <w:listItem w:displayText="Manufactura" w:value="Manufactura"/>
              <w:listItem w:displayText="Comercio al por Mayor" w:value="Comercio al por Mayor"/>
              <w:listItem w:displayText="Comercio al por Menor" w:value="Comercio al por Menor"/>
              <w:listItem w:displayText="Transporte y Almacenamiento" w:value="Transporte y Almacenamiento"/>
              <w:listItem w:displayText="Información" w:value="Información"/>
              <w:listItem w:displayText="Finanzas y Seguros" w:value="Finanzas y Seguros"/>
              <w:listItem w:displayText="Bienes y Raíces y Alquiler de Bienes Muebles e Inmuebles" w:value="Bienes y Raíces y Alquiler de Bienes Muebles e Inmuebles"/>
              <w:listItem w:displayText="Servicios profesionales, científicos y técnicos" w:value="Servicios profesionales, científicos y técnicos"/>
              <w:listItem w:displayText="Gestión de Empresas y Consultoría Administrativa" w:value="Gestión de Empresas y Consultoría Administrativa"/>
              <w:listItem w:displayText="Administración y apoyo, central de desechos y servicios de reparación" w:value="Administración y apoyo, central de desechos y servicios de reparación"/>
              <w:listItem w:displayText="Servicios educativos" w:value="Servicios educativos"/>
              <w:listItem w:displayText="Artes, entretenimiento y recreación" w:value="Artes, entretenimiento y recreación"/>
              <w:listItem w:displayText="Otros servicios (exceptuando la administración pública)" w:value="Otros servicios (exceptuando la administración pública)"/>
              <w:listItem w:displayText="Alojamiento, servicios de alimento y lugares para beber" w:value="Alojamiento, servicios de alimento y lugares para beber"/>
              <w:listItem w:displayText="Utilidades" w:value="Utilidades"/>
              <w:listItem w:displayText="Cuidados de Salud y Asistencia Social" w:value="Cuidados de Salud y Asistencia Social"/>
              <w:listItem w:displayText="Administración Pública" w:value="Administración Pública"/>
              <w:listItem w:displayText="Otro" w:value="Otro"/>
            </w:dropDownList>
          </w:sdtPr>
          <w:sdtContent>
            <w:tc>
              <w:tcPr>
                <w:tcW w:w="12191" w:type="dxa"/>
                <w:gridSpan w:val="2"/>
              </w:tcPr>
              <w:p w14:paraId="0A284C33" w14:textId="09990431" w:rsidR="00B419E5" w:rsidRPr="00D344ED" w:rsidRDefault="00B419E5" w:rsidP="00B419E5">
                <w:pPr>
                  <w:rPr>
                    <w:rFonts w:ascii="Arial" w:hAnsi="Arial" w:cs="Arial"/>
                  </w:rPr>
                </w:pPr>
                <w:r>
                  <w:rPr>
                    <w:rFonts w:ascii="Arial" w:hAnsi="Arial" w:cs="Arial"/>
                  </w:rPr>
                  <w:t>Otro</w:t>
                </w:r>
              </w:p>
            </w:tc>
          </w:sdtContent>
        </w:sdt>
      </w:tr>
      <w:tr w:rsidR="00356085" w:rsidRPr="00D344ED" w14:paraId="687E20B9" w14:textId="77777777" w:rsidTr="03AB39B1">
        <w:tc>
          <w:tcPr>
            <w:tcW w:w="5098" w:type="dxa"/>
          </w:tcPr>
          <w:p w14:paraId="63DEE06E" w14:textId="77777777" w:rsidR="00356085" w:rsidRPr="00D344ED" w:rsidRDefault="00356085" w:rsidP="00356085">
            <w:pPr>
              <w:rPr>
                <w:rFonts w:ascii="Arial" w:hAnsi="Arial" w:cs="Arial"/>
              </w:rPr>
            </w:pPr>
            <w:r w:rsidRPr="00D344ED">
              <w:rPr>
                <w:rFonts w:ascii="Arial" w:hAnsi="Arial" w:cs="Arial"/>
              </w:rPr>
              <w:t>Subsector</w:t>
            </w:r>
          </w:p>
        </w:tc>
        <w:tc>
          <w:tcPr>
            <w:tcW w:w="12191" w:type="dxa"/>
            <w:gridSpan w:val="2"/>
          </w:tcPr>
          <w:p w14:paraId="7854CE60" w14:textId="77771068" w:rsidR="00356085" w:rsidRPr="00D344ED" w:rsidRDefault="00356085" w:rsidP="00356085">
            <w:pPr>
              <w:jc w:val="both"/>
              <w:rPr>
                <w:rFonts w:ascii="Arial" w:hAnsi="Arial" w:cs="Arial"/>
              </w:rPr>
            </w:pPr>
            <w:r>
              <w:rPr>
                <w:rFonts w:ascii="Arial" w:hAnsi="Arial" w:cs="Arial"/>
              </w:rPr>
              <w:t xml:space="preserve">Aplicable a todos los contribuyentes que </w:t>
            </w:r>
            <w:r w:rsidR="00D17031">
              <w:rPr>
                <w:rFonts w:ascii="Arial" w:hAnsi="Arial" w:cs="Arial"/>
              </w:rPr>
              <w:t xml:space="preserve">quieran interponer un medio de defensa en contra de acuerdos multilaterales entre autoridades competentes </w:t>
            </w:r>
            <w:r w:rsidR="00D17031" w:rsidRPr="00981C49">
              <w:rPr>
                <w:rFonts w:ascii="Arial" w:hAnsi="Arial" w:cs="Arial"/>
              </w:rPr>
              <w:t>sobre el intercambio de reportes país por país</w:t>
            </w:r>
            <w:r w:rsidR="00D17031">
              <w:rPr>
                <w:rFonts w:ascii="Arial" w:hAnsi="Arial" w:cs="Arial"/>
              </w:rPr>
              <w:t>.</w:t>
            </w:r>
          </w:p>
        </w:tc>
      </w:tr>
      <w:tr w:rsidR="00356085" w:rsidRPr="00D344ED" w14:paraId="2562FAE0" w14:textId="77777777" w:rsidTr="03AB39B1">
        <w:tc>
          <w:tcPr>
            <w:tcW w:w="5098" w:type="dxa"/>
          </w:tcPr>
          <w:p w14:paraId="49BA501E" w14:textId="77777777" w:rsidR="00356085" w:rsidRPr="00D344ED" w:rsidRDefault="00356085" w:rsidP="00356085">
            <w:pPr>
              <w:rPr>
                <w:rFonts w:ascii="Arial" w:hAnsi="Arial" w:cs="Arial"/>
              </w:rPr>
            </w:pPr>
            <w:r w:rsidRPr="00D344ED">
              <w:rPr>
                <w:rFonts w:ascii="Arial" w:hAnsi="Arial" w:cs="Arial"/>
              </w:rPr>
              <w:t>Tipo de contribuyente</w:t>
            </w:r>
          </w:p>
        </w:tc>
        <w:tc>
          <w:tcPr>
            <w:tcW w:w="12191" w:type="dxa"/>
            <w:gridSpan w:val="2"/>
          </w:tcPr>
          <w:p w14:paraId="0BA072DB" w14:textId="72F9B69B" w:rsidR="00356085" w:rsidRPr="00D344ED" w:rsidRDefault="00356085" w:rsidP="00356085">
            <w:pPr>
              <w:rPr>
                <w:rFonts w:ascii="Arial" w:hAnsi="Arial" w:cs="Arial"/>
              </w:rPr>
            </w:pPr>
            <w:r w:rsidRPr="00D344ED">
              <w:rPr>
                <w:rFonts w:ascii="Arial" w:hAnsi="Arial" w:cs="Arial"/>
              </w:rPr>
              <w:t xml:space="preserve">Persona </w:t>
            </w:r>
            <w:r w:rsidR="00D034AC">
              <w:rPr>
                <w:rFonts w:ascii="Arial" w:hAnsi="Arial" w:cs="Arial"/>
              </w:rPr>
              <w:t>Jurídica</w:t>
            </w:r>
            <w:r w:rsidRPr="00D344ED">
              <w:rPr>
                <w:rFonts w:ascii="Arial" w:hAnsi="Arial" w:cs="Arial"/>
              </w:rPr>
              <w:t xml:space="preserve">. </w:t>
            </w:r>
          </w:p>
        </w:tc>
      </w:tr>
      <w:tr w:rsidR="00356085" w:rsidRPr="00D344ED" w14:paraId="555F6ED0" w14:textId="77777777" w:rsidTr="03AB39B1">
        <w:tc>
          <w:tcPr>
            <w:tcW w:w="5098" w:type="dxa"/>
          </w:tcPr>
          <w:p w14:paraId="613F2982" w14:textId="77777777" w:rsidR="00356085" w:rsidRPr="00D344ED" w:rsidRDefault="00356085" w:rsidP="00356085">
            <w:pPr>
              <w:rPr>
                <w:rFonts w:ascii="Arial" w:hAnsi="Arial" w:cs="Arial"/>
              </w:rPr>
            </w:pPr>
            <w:r w:rsidRPr="00D344ED">
              <w:rPr>
                <w:rFonts w:ascii="Arial" w:hAnsi="Arial" w:cs="Arial"/>
              </w:rPr>
              <w:t>Argumentos del Fisco</w:t>
            </w:r>
          </w:p>
        </w:tc>
        <w:tc>
          <w:tcPr>
            <w:tcW w:w="12191" w:type="dxa"/>
            <w:gridSpan w:val="2"/>
          </w:tcPr>
          <w:p w14:paraId="4F283AAA" w14:textId="23B1E1F2" w:rsidR="00356085" w:rsidRPr="00C1063B" w:rsidRDefault="00356085" w:rsidP="00356085">
            <w:pPr>
              <w:pStyle w:val="corte4fondo"/>
              <w:spacing w:line="240" w:lineRule="auto"/>
              <w:ind w:firstLine="0"/>
              <w:contextualSpacing/>
              <w:rPr>
                <w:rFonts w:eastAsiaTheme="minorHAnsi" w:cs="Arial"/>
                <w:bCs/>
                <w:kern w:val="2"/>
                <w:sz w:val="24"/>
                <w:szCs w:val="28"/>
                <w:lang w:val="es-PA" w:eastAsia="en-US"/>
                <w14:ligatures w14:val="standardContextual"/>
              </w:rPr>
            </w:pPr>
            <w:r>
              <w:rPr>
                <w:rFonts w:eastAsiaTheme="minorHAnsi" w:cs="Arial"/>
                <w:bCs/>
                <w:kern w:val="2"/>
                <w:sz w:val="24"/>
                <w:szCs w:val="28"/>
                <w:lang w:val="es-PA" w:eastAsia="en-US"/>
                <w14:ligatures w14:val="standardContextual"/>
              </w:rPr>
              <w:t>No aplica.</w:t>
            </w:r>
          </w:p>
        </w:tc>
      </w:tr>
      <w:tr w:rsidR="00356085" w:rsidRPr="00D344ED" w14:paraId="072F4888" w14:textId="77777777" w:rsidTr="03AB39B1">
        <w:trPr>
          <w:trHeight w:val="3121"/>
        </w:trPr>
        <w:tc>
          <w:tcPr>
            <w:tcW w:w="5098" w:type="dxa"/>
          </w:tcPr>
          <w:p w14:paraId="492B0059" w14:textId="77777777" w:rsidR="00356085" w:rsidRPr="00863B11" w:rsidRDefault="00356085" w:rsidP="00356085">
            <w:pPr>
              <w:rPr>
                <w:rFonts w:ascii="Arial" w:hAnsi="Arial" w:cs="Arial"/>
              </w:rPr>
            </w:pPr>
            <w:r w:rsidRPr="00863B11">
              <w:rPr>
                <w:rFonts w:ascii="Arial" w:hAnsi="Arial" w:cs="Arial"/>
              </w:rPr>
              <w:lastRenderedPageBreak/>
              <w:t>Argumento del Contribuyente</w:t>
            </w:r>
          </w:p>
        </w:tc>
        <w:tc>
          <w:tcPr>
            <w:tcW w:w="12191" w:type="dxa"/>
            <w:gridSpan w:val="2"/>
          </w:tcPr>
          <w:p w14:paraId="4AB033B2" w14:textId="3979EC8F" w:rsidR="00356085" w:rsidRDefault="00D034AC" w:rsidP="03AB39B1">
            <w:pPr>
              <w:pStyle w:val="corte4fondo"/>
              <w:numPr>
                <w:ilvl w:val="0"/>
                <w:numId w:val="7"/>
              </w:numPr>
              <w:spacing w:line="240" w:lineRule="auto"/>
              <w:ind w:left="183" w:hanging="142"/>
              <w:rPr>
                <w:rFonts w:cs="Arial"/>
                <w:sz w:val="24"/>
                <w:szCs w:val="24"/>
                <w:lang w:val="es-ES"/>
              </w:rPr>
            </w:pPr>
            <w:r w:rsidRPr="03AB39B1">
              <w:rPr>
                <w:rFonts w:cs="Arial"/>
                <w:sz w:val="24"/>
                <w:szCs w:val="24"/>
                <w:lang w:val="es-ES"/>
              </w:rPr>
              <w:t>Es</w:t>
            </w:r>
            <w:r w:rsidR="000F6BA4" w:rsidRPr="03AB39B1">
              <w:rPr>
                <w:rFonts w:cs="Arial"/>
                <w:sz w:val="24"/>
                <w:szCs w:val="24"/>
                <w:lang w:val="es-ES"/>
              </w:rPr>
              <w:t xml:space="preserve"> ilegal el sobreseimiento decretado en relación con el </w:t>
            </w:r>
            <w:r w:rsidR="000F6BA4" w:rsidRPr="03AB39B1">
              <w:rPr>
                <w:rFonts w:cs="Arial"/>
                <w:i/>
                <w:iCs/>
                <w:sz w:val="24"/>
                <w:szCs w:val="24"/>
                <w:lang w:val="es-ES"/>
              </w:rPr>
              <w:t>Multilateral Competent Authority Agreement on the Exchange of Country by Country</w:t>
            </w:r>
            <w:r w:rsidR="000F6BA4" w:rsidRPr="03AB39B1">
              <w:rPr>
                <w:rFonts w:cs="Arial"/>
                <w:sz w:val="24"/>
                <w:szCs w:val="24"/>
                <w:lang w:val="es-ES"/>
              </w:rPr>
              <w:t xml:space="preserve"> (Acuerdo multilateral entre autoridades competentes sobre el intercambio de reportes país por país), así como respecto del acto consistente en la emisión del dictamen e inscripción de dicho Acuerdo por parte de la Secretaría de Relaciones Exteriores, ya que si bien es un instrumento internacional celebrado entre autoridades de distintas jurisdicciones, lo cierto es que la quejosa es titular de la información que el Estado mexicano se comprometió a compartir con gobiernos extranjeros, por lo que tiene interés jurídico para combatir el citado acuerdo.</w:t>
            </w:r>
          </w:p>
          <w:p w14:paraId="16E39A7A" w14:textId="7DEE1013" w:rsidR="003625C5" w:rsidRDefault="00D034AC" w:rsidP="003625C5">
            <w:pPr>
              <w:pStyle w:val="corte4fondo"/>
              <w:numPr>
                <w:ilvl w:val="0"/>
                <w:numId w:val="7"/>
              </w:numPr>
              <w:spacing w:line="240" w:lineRule="auto"/>
              <w:ind w:left="183" w:hanging="142"/>
              <w:rPr>
                <w:rFonts w:cs="Arial"/>
                <w:sz w:val="24"/>
                <w:szCs w:val="24"/>
              </w:rPr>
            </w:pPr>
            <w:r>
              <w:rPr>
                <w:rFonts w:cs="Arial"/>
                <w:sz w:val="24"/>
                <w:szCs w:val="24"/>
              </w:rPr>
              <w:t>Es</w:t>
            </w:r>
            <w:r w:rsidR="003625C5" w:rsidRPr="003625C5">
              <w:rPr>
                <w:rFonts w:cs="Arial"/>
                <w:sz w:val="24"/>
                <w:szCs w:val="24"/>
              </w:rPr>
              <w:t xml:space="preserve"> falso que los efectos del amparo contra el Acuerdo impugnado no podrían concretarse, ya que la protección constitucional implicaría prohibir a las autoridades fiscales mexicanas compartir con sus homólogos extranjeros la información presentada por la quejosa, o bien, prohibir a las autoridades fiscales allegarse de la información que la recurrente proporciona en cumplimiento a la ley.</w:t>
            </w:r>
          </w:p>
          <w:p w14:paraId="7DF3CBF7" w14:textId="3EE0A1E9" w:rsidR="000F6BA4" w:rsidRPr="000F6BA4" w:rsidRDefault="000F6BA4" w:rsidP="003625C5">
            <w:pPr>
              <w:pStyle w:val="corte4fondo"/>
              <w:spacing w:line="276" w:lineRule="auto"/>
              <w:ind w:firstLine="0"/>
              <w:rPr>
                <w:rFonts w:cs="Arial"/>
                <w:sz w:val="24"/>
                <w:szCs w:val="24"/>
              </w:rPr>
            </w:pPr>
          </w:p>
        </w:tc>
      </w:tr>
      <w:tr w:rsidR="00356085" w:rsidRPr="00D344ED" w14:paraId="7B2298BF" w14:textId="77777777" w:rsidTr="03AB39B1">
        <w:trPr>
          <w:trHeight w:val="300"/>
        </w:trPr>
        <w:tc>
          <w:tcPr>
            <w:tcW w:w="5098" w:type="dxa"/>
          </w:tcPr>
          <w:p w14:paraId="2679B12E" w14:textId="61361C33" w:rsidR="00356085" w:rsidRPr="00D344ED" w:rsidRDefault="00356085" w:rsidP="00356085">
            <w:pPr>
              <w:rPr>
                <w:rFonts w:ascii="Arial" w:hAnsi="Arial" w:cs="Arial"/>
              </w:rPr>
            </w:pPr>
            <w:r>
              <w:rPr>
                <w:rFonts w:ascii="Arial" w:hAnsi="Arial" w:cs="Arial"/>
              </w:rPr>
              <w:t>Argumentos del Órgano Jurisdiccional</w:t>
            </w:r>
          </w:p>
        </w:tc>
        <w:tc>
          <w:tcPr>
            <w:tcW w:w="12191" w:type="dxa"/>
            <w:gridSpan w:val="2"/>
          </w:tcPr>
          <w:p w14:paraId="2B4AFD0F" w14:textId="7E779AF1" w:rsidR="00356085" w:rsidRDefault="00D034AC" w:rsidP="00356085">
            <w:pPr>
              <w:pStyle w:val="Prrafodelista"/>
              <w:numPr>
                <w:ilvl w:val="0"/>
                <w:numId w:val="2"/>
              </w:numPr>
              <w:ind w:left="181" w:hanging="181"/>
              <w:jc w:val="both"/>
              <w:rPr>
                <w:rFonts w:ascii="Arial" w:hAnsi="Arial" w:cs="Arial"/>
                <w:bCs/>
                <w:szCs w:val="28"/>
              </w:rPr>
            </w:pPr>
            <w:r>
              <w:rPr>
                <w:rFonts w:ascii="Arial" w:hAnsi="Arial" w:cs="Arial"/>
                <w:bCs/>
                <w:szCs w:val="28"/>
              </w:rPr>
              <w:t>El</w:t>
            </w:r>
            <w:r w:rsidR="00001485" w:rsidRPr="00001485">
              <w:rPr>
                <w:rFonts w:ascii="Arial" w:hAnsi="Arial" w:cs="Arial"/>
                <w:bCs/>
                <w:szCs w:val="28"/>
              </w:rPr>
              <w:t xml:space="preserve"> acuerdo reclamado tiene como objetivo establecer las bases y los procedimientos para aumentar la transparencia de la información fiscal entre los Estados firmantes, así como mejorar el acceso de sus respectivas autoridades hacendarias a la información relativa a la distribución mundial de las rentas, los impuestos pagados y ciertos indicadores sobre los grupos de empresas multinacionales, cuyas actividades se proyectan en diversas jurisdicciones.</w:t>
            </w:r>
          </w:p>
          <w:p w14:paraId="147B5EC1" w14:textId="2345C841" w:rsidR="00600B23" w:rsidRDefault="00D034AC" w:rsidP="00964E90">
            <w:pPr>
              <w:pStyle w:val="Prrafodelista"/>
              <w:numPr>
                <w:ilvl w:val="0"/>
                <w:numId w:val="2"/>
              </w:numPr>
              <w:ind w:left="181" w:hanging="181"/>
              <w:jc w:val="both"/>
              <w:rPr>
                <w:rFonts w:ascii="Arial" w:hAnsi="Arial" w:cs="Arial"/>
                <w:bCs/>
                <w:szCs w:val="28"/>
              </w:rPr>
            </w:pPr>
            <w:r>
              <w:rPr>
                <w:rFonts w:ascii="Arial" w:hAnsi="Arial" w:cs="Arial"/>
                <w:bCs/>
                <w:szCs w:val="28"/>
              </w:rPr>
              <w:t>El</w:t>
            </w:r>
            <w:r w:rsidR="00600B23" w:rsidRPr="00600B23">
              <w:rPr>
                <w:rFonts w:ascii="Arial" w:hAnsi="Arial" w:cs="Arial"/>
                <w:bCs/>
                <w:szCs w:val="28"/>
              </w:rPr>
              <w:t xml:space="preserve"> citado acuerdo prescribe que la autoridad competente de cada Estado parte se compromete a intercambiar anualmente, y de forma automática, la información relacionada con los grupos de empresas multinacionales, a fin de que sean evaluados los riesgos de alto nivel de precios de transferencia y otros riesgos relacionados con la erosión de la base gravable y traslado de utilidades. Además, se establece que información materia de intercambio estará sujeta en todo momento a las normas de confidencialidad y a otras medidas de protección previstas en la Convención sobre Asistencia Administrativa Mutua en Materia Fiscal</w:t>
            </w:r>
            <w:r w:rsidR="00600B23">
              <w:rPr>
                <w:rFonts w:ascii="Arial" w:hAnsi="Arial" w:cs="Arial"/>
                <w:bCs/>
                <w:szCs w:val="28"/>
              </w:rPr>
              <w:t>.</w:t>
            </w:r>
          </w:p>
          <w:p w14:paraId="258F0795" w14:textId="71599378" w:rsidR="00964E90" w:rsidRPr="00964E90" w:rsidRDefault="00964E90" w:rsidP="00964E90">
            <w:pPr>
              <w:pStyle w:val="Prrafodelista"/>
              <w:ind w:left="181"/>
              <w:jc w:val="both"/>
              <w:rPr>
                <w:rFonts w:ascii="Arial" w:hAnsi="Arial" w:cs="Arial"/>
                <w:bCs/>
                <w:szCs w:val="28"/>
              </w:rPr>
            </w:pPr>
          </w:p>
        </w:tc>
      </w:tr>
      <w:tr w:rsidR="00356085" w:rsidRPr="00D344ED" w14:paraId="5C25972F" w14:textId="77777777" w:rsidTr="03AB39B1">
        <w:tc>
          <w:tcPr>
            <w:tcW w:w="5098" w:type="dxa"/>
          </w:tcPr>
          <w:p w14:paraId="3BFE49FF" w14:textId="77777777" w:rsidR="00356085" w:rsidRPr="00D344ED" w:rsidRDefault="00356085" w:rsidP="00356085">
            <w:pPr>
              <w:rPr>
                <w:rFonts w:ascii="Arial" w:hAnsi="Arial" w:cs="Arial"/>
              </w:rPr>
            </w:pPr>
            <w:r w:rsidRPr="00D344ED">
              <w:rPr>
                <w:rFonts w:ascii="Arial" w:hAnsi="Arial" w:cs="Arial"/>
              </w:rPr>
              <w:t>Resultado</w:t>
            </w:r>
          </w:p>
        </w:tc>
        <w:tc>
          <w:tcPr>
            <w:tcW w:w="12191" w:type="dxa"/>
            <w:gridSpan w:val="2"/>
          </w:tcPr>
          <w:p w14:paraId="25698525" w14:textId="6A6E681D" w:rsidR="00356085" w:rsidRPr="00D344ED" w:rsidRDefault="00000000" w:rsidP="00356085">
            <w:pPr>
              <w:rPr>
                <w:rFonts w:ascii="Arial" w:hAnsi="Arial" w:cs="Arial"/>
              </w:rPr>
            </w:pPr>
            <w:sdt>
              <w:sdtPr>
                <w:rPr>
                  <w:rFonts w:ascii="Arial" w:hAnsi="Arial" w:cs="Arial"/>
                </w:rPr>
                <w:alias w:val="Resultado de la decisión"/>
                <w:tag w:val="Resultado de la decisión"/>
                <w:id w:val="27153964"/>
                <w:placeholder>
                  <w:docPart w:val="6CF261184387470BB4DA0B97BAE82DAD"/>
                </w:placeholder>
                <w:dropDownList>
                  <w:listItem w:displayText="Selección" w:value="Selección"/>
                  <w:listItem w:displayText="A favor del contribuyente" w:value="A favor del contribuyente"/>
                  <w:listItem w:displayText="En contra del contribuyente" w:value="En contra del contribuyente"/>
                  <w:listItem w:displayText="Decisión aplazada" w:value="Decisión aplazada"/>
                  <w:listItem w:displayText="Otro" w:value="Otro"/>
                </w:dropDownList>
              </w:sdtPr>
              <w:sdtContent>
                <w:r w:rsidR="00356085">
                  <w:rPr>
                    <w:rFonts w:ascii="Arial" w:hAnsi="Arial" w:cs="Arial"/>
                  </w:rPr>
                  <w:t>En contra del contribuyente</w:t>
                </w:r>
              </w:sdtContent>
            </w:sdt>
            <w:r w:rsidR="00356085" w:rsidRPr="00D344ED">
              <w:rPr>
                <w:rFonts w:ascii="Arial" w:hAnsi="Arial" w:cs="Arial"/>
              </w:rPr>
              <w:t xml:space="preserve"> </w:t>
            </w:r>
          </w:p>
        </w:tc>
      </w:tr>
    </w:tbl>
    <w:p w14:paraId="0C9B7E20" w14:textId="77777777" w:rsidR="00255AD2" w:rsidRDefault="00255AD2"/>
    <w:p w14:paraId="603B8C15" w14:textId="77777777" w:rsidR="00E7186E" w:rsidRDefault="00E7186E"/>
    <w:p w14:paraId="4ABABCD0" w14:textId="77777777" w:rsidR="009B39EF" w:rsidRDefault="009B39EF"/>
    <w:p w14:paraId="503ECE38" w14:textId="77777777" w:rsidR="009B39EF" w:rsidRDefault="009B39EF"/>
    <w:p w14:paraId="1462887E" w14:textId="3E452E39" w:rsidR="009B39EF" w:rsidRPr="00305905" w:rsidRDefault="009B39EF" w:rsidP="009B39EF">
      <w:pPr>
        <w:rPr>
          <w:b/>
          <w:bCs/>
        </w:rPr>
      </w:pPr>
      <w:r w:rsidRPr="00305905">
        <w:rPr>
          <w:b/>
          <w:bCs/>
        </w:rPr>
        <w:t xml:space="preserve">Resumen del caso </w:t>
      </w:r>
    </w:p>
    <w:p w14:paraId="5C83BCA8" w14:textId="77777777" w:rsidR="009B39EF" w:rsidRDefault="009B39EF" w:rsidP="009B39EF">
      <w:r>
        <w:t xml:space="preserve">El asunto deriva del “Amparo en revisión 782/2016”, promovido por </w:t>
      </w:r>
      <w:proofErr w:type="spellStart"/>
      <w:r>
        <w:t>Contecon</w:t>
      </w:r>
      <w:proofErr w:type="spellEnd"/>
      <w:r>
        <w:t xml:space="preserve"> Manzanillo, Sociedad Anónima de Capital Variable, contra diversas disposiciones fiscales, entre ellas el artículo 76-A de la Ley del Impuesto sobre la Renta. El Juez de Distrito sobreseyó parcialmente respecto de diversas normas y negó el amparo en cuanto al citado artículo. Inconforme, la quejosa interpuso recurso de revisión. El Tribunal Colegiado se declaró incompetente para conocer del problema de constitucionalidad planteado y remitió el asunto a la Suprema Corte de Justicia de la Nación, cuya Segunda Sala asumió competencia.</w:t>
      </w:r>
    </w:p>
    <w:p w14:paraId="45902D05" w14:textId="77777777" w:rsidR="009B39EF" w:rsidRDefault="009B39EF" w:rsidP="009B39EF">
      <w:r>
        <w:t xml:space="preserve">La cuestión jurídica principal se circunscribió “exclusivamente, al estudio de los agravios relativos a la constitucionalidad del artículo 76-A de la Ley del Impuesto sobre la Renta”, así como al sobreseimiento decretado respecto del “Multilateral </w:t>
      </w:r>
      <w:proofErr w:type="spellStart"/>
      <w:r>
        <w:t>Competent</w:t>
      </w:r>
      <w:proofErr w:type="spellEnd"/>
      <w:r>
        <w:t xml:space="preserve"> </w:t>
      </w:r>
      <w:proofErr w:type="spellStart"/>
      <w:r>
        <w:t>Authority</w:t>
      </w:r>
      <w:proofErr w:type="spellEnd"/>
      <w:r>
        <w:t xml:space="preserve"> </w:t>
      </w:r>
      <w:proofErr w:type="spellStart"/>
      <w:r>
        <w:t>Agreement</w:t>
      </w:r>
      <w:proofErr w:type="spellEnd"/>
      <w:r>
        <w:t xml:space="preserve"> </w:t>
      </w:r>
      <w:proofErr w:type="spellStart"/>
      <w:r>
        <w:t>on</w:t>
      </w:r>
      <w:proofErr w:type="spellEnd"/>
      <w:r>
        <w:t xml:space="preserve"> </w:t>
      </w:r>
      <w:proofErr w:type="spellStart"/>
      <w:r>
        <w:t>the</w:t>
      </w:r>
      <w:proofErr w:type="spellEnd"/>
      <w:r>
        <w:t xml:space="preserve"> Exchange </w:t>
      </w:r>
      <w:proofErr w:type="spellStart"/>
      <w:r>
        <w:t>of</w:t>
      </w:r>
      <w:proofErr w:type="spellEnd"/>
      <w:r>
        <w:t xml:space="preserve"> Country-</w:t>
      </w:r>
      <w:proofErr w:type="spellStart"/>
      <w:r>
        <w:t>by</w:t>
      </w:r>
      <w:proofErr w:type="spellEnd"/>
      <w:r>
        <w:t xml:space="preserve">-Country </w:t>
      </w:r>
      <w:proofErr w:type="spellStart"/>
      <w:r>
        <w:t>Reports</w:t>
      </w:r>
      <w:proofErr w:type="spellEnd"/>
      <w:r>
        <w:t>”.</w:t>
      </w:r>
    </w:p>
    <w:p w14:paraId="17ABB806" w14:textId="77777777" w:rsidR="009B39EF" w:rsidRDefault="009B39EF" w:rsidP="009B39EF">
      <w:r>
        <w:t>Las autoridades responsables sostuvieron que el artículo 76-A establece “una obligación formal” consistente en presentar declaraciones informativas de partes relacionadas, y que no constituye ejercicio de facultades de comprobación. En cuanto al Acuerdo Multilateral, se argumentó que no contiene “supuestos normativos aplicables directamente a los contribuyentes”.</w:t>
      </w:r>
    </w:p>
    <w:p w14:paraId="1938A30A" w14:textId="77777777" w:rsidR="009B39EF" w:rsidRDefault="009B39EF" w:rsidP="009B39EF">
      <w:r>
        <w:t>La quejosa alegó violación a los principios de legalidad y seguridad jurídica, afirmó que la obligación constituye un acto de molestia contrario al artículo 16 constitucional y sostuvo que el Acuerdo permite el intercambio de información cuya titularidad corresponde a los contribuyentes.</w:t>
      </w:r>
    </w:p>
    <w:p w14:paraId="4A26B177" w14:textId="77777777" w:rsidR="009B39EF" w:rsidRDefault="009B39EF" w:rsidP="009B39EF">
      <w:r>
        <w:t>La Segunda Sala determinó que la obligación prevista en el artículo 76-A es “de naturaleza formal” y no implica facultades de comprobación. Respecto del Acuerdo, concluyó que los sujetos vinculados “no son directamente los contribuyentes, sino exclusivamente los Estados signatarios”.</w:t>
      </w:r>
    </w:p>
    <w:p w14:paraId="5E031044" w14:textId="77777777" w:rsidR="009B39EF" w:rsidRDefault="009B39EF" w:rsidP="009B39EF">
      <w:r>
        <w:t>Se confirmó el sobreseimiento respecto del Acuerdo Multilateral y se negó el amparo contra el artículo 76-A.</w:t>
      </w:r>
    </w:p>
    <w:p w14:paraId="2AF4DA48" w14:textId="63D19A08" w:rsidR="009B39EF" w:rsidRDefault="009B39EF" w:rsidP="009B39EF">
      <w:r>
        <w:t>El documento señala que el intercambio de información tiene por finalidad evaluar “riesgos de alto nivel en materia de precios de transferencia”.</w:t>
      </w:r>
    </w:p>
    <w:p w14:paraId="41FDBEF9" w14:textId="1A96AE8F" w:rsidR="00305905" w:rsidRDefault="00305905" w:rsidP="009B39EF">
      <w:pPr>
        <w:rPr>
          <w:b/>
          <w:bCs/>
        </w:rPr>
      </w:pPr>
      <w:r w:rsidRPr="00305905">
        <w:rPr>
          <w:b/>
          <w:bCs/>
        </w:rPr>
        <w:t>Información adicional</w:t>
      </w:r>
    </w:p>
    <w:p w14:paraId="32173FA5" w14:textId="77777777" w:rsidR="00205828" w:rsidRDefault="00205828" w:rsidP="009B39EF">
      <w:pPr>
        <w:rPr>
          <w:b/>
          <w:bCs/>
        </w:rPr>
      </w:pPr>
    </w:p>
    <w:p w14:paraId="06367892" w14:textId="77777777" w:rsidR="00205828" w:rsidRDefault="00205828" w:rsidP="009B39EF">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4"/>
        <w:gridCol w:w="12868"/>
      </w:tblGrid>
      <w:tr w:rsidR="00205828" w:rsidRPr="00205828" w14:paraId="7556BE87" w14:textId="77777777" w:rsidTr="00205828">
        <w:trPr>
          <w:tblHeader/>
          <w:tblCellSpacing w:w="15" w:type="dxa"/>
        </w:trPr>
        <w:tc>
          <w:tcPr>
            <w:tcW w:w="0" w:type="auto"/>
            <w:vAlign w:val="center"/>
            <w:hideMark/>
          </w:tcPr>
          <w:p w14:paraId="7E8AF8A1" w14:textId="77777777" w:rsidR="00205828" w:rsidRPr="00205828" w:rsidRDefault="00205828" w:rsidP="00205828">
            <w:pPr>
              <w:jc w:val="center"/>
              <w:rPr>
                <w:b/>
                <w:bCs/>
                <w:lang w:val="es-US"/>
              </w:rPr>
            </w:pPr>
            <w:r w:rsidRPr="00205828">
              <w:rPr>
                <w:b/>
                <w:bCs/>
                <w:lang w:val="es-US"/>
              </w:rPr>
              <w:lastRenderedPageBreak/>
              <w:t>Variable</w:t>
            </w:r>
          </w:p>
        </w:tc>
        <w:tc>
          <w:tcPr>
            <w:tcW w:w="0" w:type="auto"/>
            <w:vAlign w:val="center"/>
            <w:hideMark/>
          </w:tcPr>
          <w:p w14:paraId="3471304D" w14:textId="77777777" w:rsidR="00205828" w:rsidRPr="00205828" w:rsidRDefault="00205828" w:rsidP="00205828">
            <w:pPr>
              <w:jc w:val="center"/>
              <w:rPr>
                <w:b/>
                <w:bCs/>
                <w:lang w:val="es-US"/>
              </w:rPr>
            </w:pPr>
            <w:r w:rsidRPr="00205828">
              <w:rPr>
                <w:b/>
                <w:bCs/>
                <w:lang w:val="es-US"/>
              </w:rPr>
              <w:t>Información textual o síntesis estrictamente literal</w:t>
            </w:r>
          </w:p>
        </w:tc>
      </w:tr>
      <w:tr w:rsidR="00205828" w:rsidRPr="00205828" w14:paraId="2226A4D2" w14:textId="77777777" w:rsidTr="00205828">
        <w:trPr>
          <w:tblCellSpacing w:w="15" w:type="dxa"/>
        </w:trPr>
        <w:tc>
          <w:tcPr>
            <w:tcW w:w="0" w:type="auto"/>
            <w:vAlign w:val="center"/>
            <w:hideMark/>
          </w:tcPr>
          <w:p w14:paraId="1BD848F7" w14:textId="77777777" w:rsidR="00205828" w:rsidRPr="00205828" w:rsidRDefault="00205828" w:rsidP="00205828">
            <w:pPr>
              <w:rPr>
                <w:lang w:val="es-US"/>
              </w:rPr>
            </w:pPr>
            <w:r w:rsidRPr="00205828">
              <w:rPr>
                <w:lang w:val="es-US"/>
              </w:rPr>
              <w:t>Nombre del caso</w:t>
            </w:r>
          </w:p>
        </w:tc>
        <w:tc>
          <w:tcPr>
            <w:tcW w:w="0" w:type="auto"/>
            <w:vAlign w:val="center"/>
            <w:hideMark/>
          </w:tcPr>
          <w:p w14:paraId="5373F263" w14:textId="77777777" w:rsidR="00205828" w:rsidRPr="00205828" w:rsidRDefault="00205828" w:rsidP="00205828">
            <w:pPr>
              <w:rPr>
                <w:lang w:val="es-US"/>
              </w:rPr>
            </w:pPr>
            <w:proofErr w:type="spellStart"/>
            <w:r w:rsidRPr="00205828">
              <w:rPr>
                <w:lang w:val="es-US"/>
              </w:rPr>
              <w:t>Contecon</w:t>
            </w:r>
            <w:proofErr w:type="spellEnd"/>
            <w:r w:rsidRPr="00205828">
              <w:rPr>
                <w:lang w:val="es-US"/>
              </w:rPr>
              <w:t xml:space="preserve"> Manzanillo vs SAT (Amparo en revisión 782/2016)</w:t>
            </w:r>
          </w:p>
        </w:tc>
      </w:tr>
      <w:tr w:rsidR="00205828" w:rsidRPr="00205828" w14:paraId="7AB33A6D" w14:textId="77777777" w:rsidTr="00205828">
        <w:trPr>
          <w:tblCellSpacing w:w="15" w:type="dxa"/>
        </w:trPr>
        <w:tc>
          <w:tcPr>
            <w:tcW w:w="0" w:type="auto"/>
            <w:vAlign w:val="center"/>
            <w:hideMark/>
          </w:tcPr>
          <w:p w14:paraId="3F8DD27F" w14:textId="77777777" w:rsidR="00205828" w:rsidRPr="00205828" w:rsidRDefault="00205828" w:rsidP="00205828">
            <w:pPr>
              <w:rPr>
                <w:lang w:val="es-US"/>
              </w:rPr>
            </w:pPr>
            <w:r w:rsidRPr="00205828">
              <w:rPr>
                <w:lang w:val="es-US"/>
              </w:rPr>
              <w:t>Litigante</w:t>
            </w:r>
          </w:p>
        </w:tc>
        <w:tc>
          <w:tcPr>
            <w:tcW w:w="0" w:type="auto"/>
            <w:vAlign w:val="center"/>
            <w:hideMark/>
          </w:tcPr>
          <w:p w14:paraId="3ED1338B" w14:textId="77777777" w:rsidR="00205828" w:rsidRPr="00205828" w:rsidRDefault="00205828" w:rsidP="00205828">
            <w:pPr>
              <w:rPr>
                <w:lang w:val="es-US"/>
              </w:rPr>
            </w:pPr>
            <w:proofErr w:type="spellStart"/>
            <w:r w:rsidRPr="00205828">
              <w:rPr>
                <w:lang w:val="es-US"/>
              </w:rPr>
              <w:t>Contecon</w:t>
            </w:r>
            <w:proofErr w:type="spellEnd"/>
            <w:r w:rsidRPr="00205828">
              <w:rPr>
                <w:lang w:val="es-US"/>
              </w:rPr>
              <w:t xml:space="preserve"> Manzanillo, Sociedad Anónima de Capital Variable</w:t>
            </w:r>
          </w:p>
        </w:tc>
      </w:tr>
      <w:tr w:rsidR="00205828" w:rsidRPr="00205828" w14:paraId="1B8583D0" w14:textId="77777777" w:rsidTr="00205828">
        <w:trPr>
          <w:tblCellSpacing w:w="15" w:type="dxa"/>
        </w:trPr>
        <w:tc>
          <w:tcPr>
            <w:tcW w:w="0" w:type="auto"/>
            <w:vAlign w:val="center"/>
            <w:hideMark/>
          </w:tcPr>
          <w:p w14:paraId="48D56D1F" w14:textId="77777777" w:rsidR="00205828" w:rsidRPr="00205828" w:rsidRDefault="00205828" w:rsidP="00205828">
            <w:pPr>
              <w:rPr>
                <w:lang w:val="es-US"/>
              </w:rPr>
            </w:pPr>
            <w:r w:rsidRPr="00205828">
              <w:rPr>
                <w:lang w:val="es-US"/>
              </w:rPr>
              <w:t>Administración tributaria involucrada</w:t>
            </w:r>
          </w:p>
        </w:tc>
        <w:tc>
          <w:tcPr>
            <w:tcW w:w="0" w:type="auto"/>
            <w:vAlign w:val="center"/>
            <w:hideMark/>
          </w:tcPr>
          <w:p w14:paraId="3EC80C1D" w14:textId="77777777" w:rsidR="00205828" w:rsidRPr="00205828" w:rsidRDefault="00205828" w:rsidP="00205828">
            <w:pPr>
              <w:rPr>
                <w:lang w:val="es-US"/>
              </w:rPr>
            </w:pPr>
            <w:r w:rsidRPr="00205828">
              <w:rPr>
                <w:lang w:val="es-US"/>
              </w:rPr>
              <w:t>Servicio de Administración Tributaria</w:t>
            </w:r>
          </w:p>
        </w:tc>
      </w:tr>
      <w:tr w:rsidR="00205828" w:rsidRPr="00205828" w14:paraId="3F1BD6E3" w14:textId="77777777" w:rsidTr="00205828">
        <w:trPr>
          <w:tblCellSpacing w:w="15" w:type="dxa"/>
        </w:trPr>
        <w:tc>
          <w:tcPr>
            <w:tcW w:w="0" w:type="auto"/>
            <w:vAlign w:val="center"/>
            <w:hideMark/>
          </w:tcPr>
          <w:p w14:paraId="6C1E7CC8" w14:textId="77777777" w:rsidR="00205828" w:rsidRPr="00205828" w:rsidRDefault="00205828" w:rsidP="00205828">
            <w:pPr>
              <w:rPr>
                <w:lang w:val="es-US"/>
              </w:rPr>
            </w:pPr>
            <w:r w:rsidRPr="00205828">
              <w:rPr>
                <w:lang w:val="es-US"/>
              </w:rPr>
              <w:t>Número de resolución</w:t>
            </w:r>
          </w:p>
        </w:tc>
        <w:tc>
          <w:tcPr>
            <w:tcW w:w="0" w:type="auto"/>
            <w:vAlign w:val="center"/>
            <w:hideMark/>
          </w:tcPr>
          <w:p w14:paraId="68A5E3AA" w14:textId="77777777" w:rsidR="00205828" w:rsidRPr="00205828" w:rsidRDefault="00205828" w:rsidP="00205828">
            <w:pPr>
              <w:rPr>
                <w:lang w:val="es-US"/>
              </w:rPr>
            </w:pPr>
            <w:r w:rsidRPr="00205828">
              <w:rPr>
                <w:lang w:val="es-US"/>
              </w:rPr>
              <w:t>Amparo en revisión 782/2016</w:t>
            </w:r>
          </w:p>
        </w:tc>
      </w:tr>
      <w:tr w:rsidR="00205828" w:rsidRPr="00205828" w14:paraId="0CFE19D8" w14:textId="77777777" w:rsidTr="00205828">
        <w:trPr>
          <w:tblCellSpacing w:w="15" w:type="dxa"/>
        </w:trPr>
        <w:tc>
          <w:tcPr>
            <w:tcW w:w="0" w:type="auto"/>
            <w:vAlign w:val="center"/>
            <w:hideMark/>
          </w:tcPr>
          <w:p w14:paraId="2A0F8C0C" w14:textId="77777777" w:rsidR="00205828" w:rsidRPr="00205828" w:rsidRDefault="00205828" w:rsidP="00205828">
            <w:pPr>
              <w:rPr>
                <w:lang w:val="es-US"/>
              </w:rPr>
            </w:pPr>
            <w:r w:rsidRPr="00205828">
              <w:rPr>
                <w:lang w:val="es-US"/>
              </w:rPr>
              <w:t>Registro digital</w:t>
            </w:r>
          </w:p>
        </w:tc>
        <w:tc>
          <w:tcPr>
            <w:tcW w:w="0" w:type="auto"/>
            <w:vAlign w:val="center"/>
            <w:hideMark/>
          </w:tcPr>
          <w:p w14:paraId="317C6A13" w14:textId="77777777" w:rsidR="00205828" w:rsidRPr="00205828" w:rsidRDefault="00205828" w:rsidP="00205828">
            <w:pPr>
              <w:rPr>
                <w:lang w:val="es-US"/>
              </w:rPr>
            </w:pPr>
            <w:r w:rsidRPr="00205828">
              <w:rPr>
                <w:lang w:val="es-US"/>
              </w:rPr>
              <w:t>2014227</w:t>
            </w:r>
          </w:p>
        </w:tc>
      </w:tr>
      <w:tr w:rsidR="00205828" w:rsidRPr="00205828" w14:paraId="70EE3A84" w14:textId="77777777" w:rsidTr="00205828">
        <w:trPr>
          <w:tblCellSpacing w:w="15" w:type="dxa"/>
        </w:trPr>
        <w:tc>
          <w:tcPr>
            <w:tcW w:w="0" w:type="auto"/>
            <w:vAlign w:val="center"/>
            <w:hideMark/>
          </w:tcPr>
          <w:p w14:paraId="0B323D20" w14:textId="77777777" w:rsidR="00205828" w:rsidRPr="00205828" w:rsidRDefault="00205828" w:rsidP="00205828">
            <w:pPr>
              <w:rPr>
                <w:lang w:val="es-US"/>
              </w:rPr>
            </w:pPr>
            <w:r w:rsidRPr="00205828">
              <w:rPr>
                <w:lang w:val="es-US"/>
              </w:rPr>
              <w:t>Fecha</w:t>
            </w:r>
          </w:p>
        </w:tc>
        <w:tc>
          <w:tcPr>
            <w:tcW w:w="0" w:type="auto"/>
            <w:vAlign w:val="center"/>
            <w:hideMark/>
          </w:tcPr>
          <w:p w14:paraId="215FBD4F" w14:textId="77777777" w:rsidR="00205828" w:rsidRPr="00205828" w:rsidRDefault="00205828" w:rsidP="00205828">
            <w:pPr>
              <w:rPr>
                <w:lang w:val="es-US"/>
              </w:rPr>
            </w:pPr>
            <w:r w:rsidRPr="00205828">
              <w:rPr>
                <w:lang w:val="es-US"/>
              </w:rPr>
              <w:t>15 de marzo de 2017</w:t>
            </w:r>
          </w:p>
        </w:tc>
      </w:tr>
      <w:tr w:rsidR="00205828" w:rsidRPr="00205828" w14:paraId="301D176D" w14:textId="77777777" w:rsidTr="00205828">
        <w:trPr>
          <w:tblCellSpacing w:w="15" w:type="dxa"/>
        </w:trPr>
        <w:tc>
          <w:tcPr>
            <w:tcW w:w="0" w:type="auto"/>
            <w:vAlign w:val="center"/>
            <w:hideMark/>
          </w:tcPr>
          <w:p w14:paraId="7E47CA58" w14:textId="77777777" w:rsidR="00205828" w:rsidRPr="00205828" w:rsidRDefault="00205828" w:rsidP="00205828">
            <w:pPr>
              <w:rPr>
                <w:lang w:val="es-US"/>
              </w:rPr>
            </w:pPr>
            <w:r w:rsidRPr="00205828">
              <w:rPr>
                <w:lang w:val="es-US"/>
              </w:rPr>
              <w:t>País</w:t>
            </w:r>
          </w:p>
        </w:tc>
        <w:tc>
          <w:tcPr>
            <w:tcW w:w="0" w:type="auto"/>
            <w:vAlign w:val="center"/>
            <w:hideMark/>
          </w:tcPr>
          <w:p w14:paraId="232A7D7E" w14:textId="77777777" w:rsidR="00205828" w:rsidRPr="00205828" w:rsidRDefault="00205828" w:rsidP="00205828">
            <w:pPr>
              <w:rPr>
                <w:lang w:val="es-US"/>
              </w:rPr>
            </w:pPr>
            <w:r w:rsidRPr="00205828">
              <w:rPr>
                <w:lang w:val="es-US"/>
              </w:rPr>
              <w:t>México</w:t>
            </w:r>
          </w:p>
        </w:tc>
      </w:tr>
      <w:tr w:rsidR="00205828" w:rsidRPr="00205828" w14:paraId="504976FB" w14:textId="77777777" w:rsidTr="00205828">
        <w:trPr>
          <w:tblCellSpacing w:w="15" w:type="dxa"/>
        </w:trPr>
        <w:tc>
          <w:tcPr>
            <w:tcW w:w="0" w:type="auto"/>
            <w:vAlign w:val="center"/>
            <w:hideMark/>
          </w:tcPr>
          <w:p w14:paraId="67188377" w14:textId="77777777" w:rsidR="00205828" w:rsidRPr="00205828" w:rsidRDefault="00205828" w:rsidP="00205828">
            <w:pPr>
              <w:rPr>
                <w:lang w:val="es-US"/>
              </w:rPr>
            </w:pPr>
            <w:r w:rsidRPr="00205828">
              <w:rPr>
                <w:lang w:val="es-US"/>
              </w:rPr>
              <w:t>Resultado procesal</w:t>
            </w:r>
          </w:p>
        </w:tc>
        <w:tc>
          <w:tcPr>
            <w:tcW w:w="0" w:type="auto"/>
            <w:vAlign w:val="center"/>
            <w:hideMark/>
          </w:tcPr>
          <w:p w14:paraId="32786863" w14:textId="77777777" w:rsidR="00205828" w:rsidRPr="00205828" w:rsidRDefault="00205828" w:rsidP="00205828">
            <w:pPr>
              <w:rPr>
                <w:lang w:val="es-US"/>
              </w:rPr>
            </w:pPr>
            <w:r w:rsidRPr="00205828">
              <w:rPr>
                <w:lang w:val="es-US"/>
              </w:rPr>
              <w:t>Se confirmó el sobreseimiento parcial y se negó el amparo respecto del artículo 76-A</w:t>
            </w:r>
          </w:p>
        </w:tc>
      </w:tr>
      <w:tr w:rsidR="00205828" w:rsidRPr="00205828" w14:paraId="0FB81065" w14:textId="77777777" w:rsidTr="00205828">
        <w:trPr>
          <w:tblCellSpacing w:w="15" w:type="dxa"/>
        </w:trPr>
        <w:tc>
          <w:tcPr>
            <w:tcW w:w="0" w:type="auto"/>
            <w:vAlign w:val="center"/>
            <w:hideMark/>
          </w:tcPr>
          <w:p w14:paraId="2D664CEF" w14:textId="77777777" w:rsidR="00205828" w:rsidRPr="00205828" w:rsidRDefault="00205828" w:rsidP="00205828">
            <w:pPr>
              <w:rPr>
                <w:lang w:val="es-US"/>
              </w:rPr>
            </w:pPr>
            <w:r w:rsidRPr="00205828">
              <w:rPr>
                <w:lang w:val="es-US"/>
              </w:rPr>
              <w:t>Órgano decisor</w:t>
            </w:r>
          </w:p>
        </w:tc>
        <w:tc>
          <w:tcPr>
            <w:tcW w:w="0" w:type="auto"/>
            <w:vAlign w:val="center"/>
            <w:hideMark/>
          </w:tcPr>
          <w:p w14:paraId="48A226D2" w14:textId="77777777" w:rsidR="00205828" w:rsidRPr="00205828" w:rsidRDefault="00205828" w:rsidP="00205828">
            <w:pPr>
              <w:rPr>
                <w:lang w:val="es-US"/>
              </w:rPr>
            </w:pPr>
            <w:r w:rsidRPr="00205828">
              <w:rPr>
                <w:lang w:val="es-US"/>
              </w:rPr>
              <w:t>Segunda Sala de la Suprema Corte de Justicia de la Nación</w:t>
            </w:r>
          </w:p>
        </w:tc>
      </w:tr>
      <w:tr w:rsidR="00205828" w:rsidRPr="00205828" w14:paraId="5078D9AA" w14:textId="77777777" w:rsidTr="00205828">
        <w:trPr>
          <w:tblCellSpacing w:w="15" w:type="dxa"/>
        </w:trPr>
        <w:tc>
          <w:tcPr>
            <w:tcW w:w="0" w:type="auto"/>
            <w:vAlign w:val="center"/>
            <w:hideMark/>
          </w:tcPr>
          <w:p w14:paraId="2359BED2" w14:textId="77777777" w:rsidR="00205828" w:rsidRPr="00205828" w:rsidRDefault="00205828" w:rsidP="00205828">
            <w:pPr>
              <w:rPr>
                <w:lang w:val="es-US"/>
              </w:rPr>
            </w:pPr>
            <w:r w:rsidRPr="00205828">
              <w:rPr>
                <w:lang w:val="es-US"/>
              </w:rPr>
              <w:t>Naturaleza del órgano</w:t>
            </w:r>
          </w:p>
        </w:tc>
        <w:tc>
          <w:tcPr>
            <w:tcW w:w="0" w:type="auto"/>
            <w:vAlign w:val="center"/>
            <w:hideMark/>
          </w:tcPr>
          <w:p w14:paraId="44FA46BF" w14:textId="77777777" w:rsidR="00205828" w:rsidRPr="00205828" w:rsidRDefault="00205828" w:rsidP="00205828">
            <w:pPr>
              <w:rPr>
                <w:lang w:val="es-US"/>
              </w:rPr>
            </w:pPr>
            <w:r w:rsidRPr="00205828">
              <w:rPr>
                <w:lang w:val="es-US"/>
              </w:rPr>
              <w:t>Judicial</w:t>
            </w:r>
          </w:p>
        </w:tc>
      </w:tr>
      <w:tr w:rsidR="00205828" w:rsidRPr="00205828" w14:paraId="55085B08" w14:textId="77777777" w:rsidTr="00205828">
        <w:trPr>
          <w:tblCellSpacing w:w="15" w:type="dxa"/>
        </w:trPr>
        <w:tc>
          <w:tcPr>
            <w:tcW w:w="0" w:type="auto"/>
            <w:vAlign w:val="center"/>
            <w:hideMark/>
          </w:tcPr>
          <w:p w14:paraId="47432526" w14:textId="77777777" w:rsidR="00205828" w:rsidRPr="00205828" w:rsidRDefault="00205828" w:rsidP="00205828">
            <w:pPr>
              <w:rPr>
                <w:lang w:val="es-US"/>
              </w:rPr>
            </w:pPr>
            <w:r w:rsidRPr="00205828">
              <w:rPr>
                <w:lang w:val="es-US"/>
              </w:rPr>
              <w:t>Tipo de precedente</w:t>
            </w:r>
          </w:p>
        </w:tc>
        <w:tc>
          <w:tcPr>
            <w:tcW w:w="0" w:type="auto"/>
            <w:vAlign w:val="center"/>
            <w:hideMark/>
          </w:tcPr>
          <w:p w14:paraId="75F50D33" w14:textId="77777777" w:rsidR="00205828" w:rsidRPr="00205828" w:rsidRDefault="00205828" w:rsidP="00205828">
            <w:pPr>
              <w:rPr>
                <w:lang w:val="es-US"/>
              </w:rPr>
            </w:pPr>
            <w:r w:rsidRPr="00205828">
              <w:rPr>
                <w:lang w:val="es-US"/>
              </w:rPr>
              <w:t>“Tipo: Aislada”</w:t>
            </w:r>
          </w:p>
        </w:tc>
      </w:tr>
      <w:tr w:rsidR="00205828" w:rsidRPr="00205828" w14:paraId="053D4AD9" w14:textId="77777777" w:rsidTr="00205828">
        <w:trPr>
          <w:tblCellSpacing w:w="15" w:type="dxa"/>
        </w:trPr>
        <w:tc>
          <w:tcPr>
            <w:tcW w:w="0" w:type="auto"/>
            <w:vAlign w:val="center"/>
            <w:hideMark/>
          </w:tcPr>
          <w:p w14:paraId="3C992556" w14:textId="77777777" w:rsidR="00205828" w:rsidRPr="00205828" w:rsidRDefault="00205828" w:rsidP="00205828">
            <w:pPr>
              <w:rPr>
                <w:lang w:val="es-US"/>
              </w:rPr>
            </w:pPr>
            <w:r w:rsidRPr="00205828">
              <w:rPr>
                <w:lang w:val="es-US"/>
              </w:rPr>
              <w:t>Efectos declarados de la decisión</w:t>
            </w:r>
          </w:p>
        </w:tc>
        <w:tc>
          <w:tcPr>
            <w:tcW w:w="0" w:type="auto"/>
            <w:vAlign w:val="center"/>
            <w:hideMark/>
          </w:tcPr>
          <w:p w14:paraId="5A3A2F81" w14:textId="77777777" w:rsidR="00205828" w:rsidRPr="00205828" w:rsidRDefault="00205828" w:rsidP="00205828">
            <w:pPr>
              <w:rPr>
                <w:lang w:val="es-US"/>
              </w:rPr>
            </w:pPr>
            <w:r w:rsidRPr="00205828">
              <w:rPr>
                <w:lang w:val="es-US"/>
              </w:rPr>
              <w:t>No podrían concretarse los efectos de un eventual amparo contra el Acuerdo, y se negó el amparo respecto del artículo 76-A</w:t>
            </w:r>
          </w:p>
        </w:tc>
      </w:tr>
    </w:tbl>
    <w:p w14:paraId="7B24A020" w14:textId="77777777" w:rsidR="00305905" w:rsidRPr="00205828" w:rsidRDefault="00305905" w:rsidP="009B39EF">
      <w:pPr>
        <w:rPr>
          <w:b/>
          <w:bCs/>
          <w:lang w:val="es-US"/>
        </w:rPr>
      </w:pPr>
    </w:p>
    <w:p w14:paraId="2C84CE56" w14:textId="77777777" w:rsidR="00305905" w:rsidRPr="00305905" w:rsidRDefault="00305905" w:rsidP="009B39EF">
      <w:pPr>
        <w:rPr>
          <w:b/>
          <w:bCs/>
        </w:rPr>
      </w:pPr>
    </w:p>
    <w:sectPr w:rsidR="00305905" w:rsidRPr="00305905" w:rsidSect="00F957FC">
      <w:headerReference w:type="default" r:id="rId12"/>
      <w:footerReference w:type="default" r:id="rId13"/>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395C" w14:textId="77777777" w:rsidR="00C738A5" w:rsidRDefault="00C738A5" w:rsidP="008958CC">
      <w:pPr>
        <w:spacing w:after="0" w:line="240" w:lineRule="auto"/>
      </w:pPr>
      <w:r>
        <w:separator/>
      </w:r>
    </w:p>
  </w:endnote>
  <w:endnote w:type="continuationSeparator" w:id="0">
    <w:p w14:paraId="6F63E27E" w14:textId="77777777" w:rsidR="00C738A5" w:rsidRDefault="00C738A5" w:rsidP="0089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295183"/>
      <w:docPartObj>
        <w:docPartGallery w:val="Page Numbers (Bottom of Page)"/>
        <w:docPartUnique/>
      </w:docPartObj>
    </w:sdtPr>
    <w:sdtEndPr>
      <w:rPr>
        <w:noProof/>
      </w:rPr>
    </w:sdtEndPr>
    <w:sdtContent>
      <w:p w14:paraId="2DBC3D48" w14:textId="78E6DA96" w:rsidR="008958CC" w:rsidRDefault="008958CC">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049C90DA" w14:textId="53688E14" w:rsidR="008958CC" w:rsidRDefault="00772AEB" w:rsidP="00772AEB">
    <w:pPr>
      <w:pStyle w:val="Piedepgina"/>
      <w:tabs>
        <w:tab w:val="left" w:pos="13860"/>
        <w:tab w:val="right" w:pos="17326"/>
      </w:tabs>
      <w:jc w:val="both"/>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DAC4" w14:textId="77777777" w:rsidR="00C738A5" w:rsidRDefault="00C738A5" w:rsidP="008958CC">
      <w:pPr>
        <w:spacing w:after="0" w:line="240" w:lineRule="auto"/>
      </w:pPr>
      <w:r>
        <w:separator/>
      </w:r>
    </w:p>
  </w:footnote>
  <w:footnote w:type="continuationSeparator" w:id="0">
    <w:p w14:paraId="24A20C02" w14:textId="77777777" w:rsidR="00C738A5" w:rsidRDefault="00C738A5" w:rsidP="00895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AB1F" w14:textId="6B1E7B28" w:rsidR="00772AEB" w:rsidRDefault="00EB1099" w:rsidP="00EB1099">
    <w:pPr>
      <w:pStyle w:val="Encabezado"/>
      <w:jc w:val="right"/>
    </w:pPr>
    <w:r w:rsidRPr="000844FB">
      <w:rPr>
        <w:noProof/>
      </w:rPr>
      <w:drawing>
        <wp:inline distT="0" distB="0" distL="0" distR="0" wp14:anchorId="0B678FC4" wp14:editId="1F030AC7">
          <wp:extent cx="800100" cy="800100"/>
          <wp:effectExtent l="0" t="0" r="0" b="0"/>
          <wp:docPr id="1805209516" name="Picture 9" descr="Un letrero de color blanco&#10;&#10;Descripción generada automáticamente con confianza baja">
            <a:extLst xmlns:a="http://schemas.openxmlformats.org/drawingml/2006/main">
              <a:ext uri="{FF2B5EF4-FFF2-40B4-BE49-F238E27FC236}">
                <a16:creationId xmlns:a16="http://schemas.microsoft.com/office/drawing/2014/main" id="{696469B9-2BA4-0239-5C73-1188D915E1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Un letrero de color blanco&#10;&#10;Descripción generada automáticamente con confianza baja">
                    <a:extLst>
                      <a:ext uri="{FF2B5EF4-FFF2-40B4-BE49-F238E27FC236}">
                        <a16:creationId xmlns:a16="http://schemas.microsoft.com/office/drawing/2014/main" id="{696469B9-2BA4-0239-5C73-1188D915E1E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331" cy="8003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1F39"/>
    <w:multiLevelType w:val="hybridMultilevel"/>
    <w:tmpl w:val="357673B2"/>
    <w:lvl w:ilvl="0" w:tplc="530E91C2">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39930699"/>
    <w:multiLevelType w:val="hybridMultilevel"/>
    <w:tmpl w:val="9078E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E12F91"/>
    <w:multiLevelType w:val="hybridMultilevel"/>
    <w:tmpl w:val="30661820"/>
    <w:lvl w:ilvl="0" w:tplc="080A0001">
      <w:start w:val="1"/>
      <w:numFmt w:val="bullet"/>
      <w:lvlText w:val=""/>
      <w:lvlJc w:val="left"/>
      <w:pPr>
        <w:ind w:left="502" w:hanging="360"/>
      </w:pPr>
      <w:rPr>
        <w:rFonts w:ascii="Symbol" w:hAnsi="Symbol" w:hint="default"/>
      </w:rPr>
    </w:lvl>
    <w:lvl w:ilvl="1" w:tplc="080A0003">
      <w:start w:val="1"/>
      <w:numFmt w:val="bullet"/>
      <w:lvlText w:val="o"/>
      <w:lvlJc w:val="left"/>
      <w:pPr>
        <w:ind w:left="-3522" w:hanging="360"/>
      </w:pPr>
      <w:rPr>
        <w:rFonts w:ascii="Courier New" w:hAnsi="Courier New" w:cs="Courier New" w:hint="default"/>
      </w:rPr>
    </w:lvl>
    <w:lvl w:ilvl="2" w:tplc="080A0005">
      <w:start w:val="1"/>
      <w:numFmt w:val="bullet"/>
      <w:lvlText w:val=""/>
      <w:lvlJc w:val="left"/>
      <w:pPr>
        <w:ind w:left="-2802" w:hanging="360"/>
      </w:pPr>
      <w:rPr>
        <w:rFonts w:ascii="Wingdings" w:hAnsi="Wingdings" w:hint="default"/>
      </w:rPr>
    </w:lvl>
    <w:lvl w:ilvl="3" w:tplc="080A0001">
      <w:start w:val="1"/>
      <w:numFmt w:val="bullet"/>
      <w:lvlText w:val=""/>
      <w:lvlJc w:val="left"/>
      <w:pPr>
        <w:ind w:left="-2082" w:hanging="360"/>
      </w:pPr>
      <w:rPr>
        <w:rFonts w:ascii="Symbol" w:hAnsi="Symbol" w:hint="default"/>
      </w:rPr>
    </w:lvl>
    <w:lvl w:ilvl="4" w:tplc="080A0003">
      <w:start w:val="1"/>
      <w:numFmt w:val="bullet"/>
      <w:lvlText w:val="o"/>
      <w:lvlJc w:val="left"/>
      <w:pPr>
        <w:ind w:left="-1362" w:hanging="360"/>
      </w:pPr>
      <w:rPr>
        <w:rFonts w:ascii="Courier New" w:hAnsi="Courier New" w:cs="Courier New" w:hint="default"/>
      </w:rPr>
    </w:lvl>
    <w:lvl w:ilvl="5" w:tplc="080A0005">
      <w:start w:val="1"/>
      <w:numFmt w:val="bullet"/>
      <w:lvlText w:val=""/>
      <w:lvlJc w:val="left"/>
      <w:pPr>
        <w:ind w:left="-642" w:hanging="360"/>
      </w:pPr>
      <w:rPr>
        <w:rFonts w:ascii="Wingdings" w:hAnsi="Wingdings" w:hint="default"/>
      </w:rPr>
    </w:lvl>
    <w:lvl w:ilvl="6" w:tplc="080A0001">
      <w:start w:val="1"/>
      <w:numFmt w:val="bullet"/>
      <w:lvlText w:val=""/>
      <w:lvlJc w:val="left"/>
      <w:pPr>
        <w:ind w:left="78" w:hanging="360"/>
      </w:pPr>
      <w:rPr>
        <w:rFonts w:ascii="Symbol" w:hAnsi="Symbol" w:hint="default"/>
      </w:rPr>
    </w:lvl>
    <w:lvl w:ilvl="7" w:tplc="080A0003">
      <w:start w:val="1"/>
      <w:numFmt w:val="bullet"/>
      <w:lvlText w:val="o"/>
      <w:lvlJc w:val="left"/>
      <w:pPr>
        <w:ind w:left="798" w:hanging="360"/>
      </w:pPr>
      <w:rPr>
        <w:rFonts w:ascii="Courier New" w:hAnsi="Courier New" w:cs="Courier New" w:hint="default"/>
      </w:rPr>
    </w:lvl>
    <w:lvl w:ilvl="8" w:tplc="080A0005">
      <w:start w:val="1"/>
      <w:numFmt w:val="bullet"/>
      <w:lvlText w:val=""/>
      <w:lvlJc w:val="left"/>
      <w:pPr>
        <w:ind w:left="1518" w:hanging="360"/>
      </w:pPr>
      <w:rPr>
        <w:rFonts w:ascii="Wingdings" w:hAnsi="Wingdings" w:hint="default"/>
      </w:rPr>
    </w:lvl>
  </w:abstractNum>
  <w:abstractNum w:abstractNumId="3" w15:restartNumberingAfterBreak="0">
    <w:nsid w:val="4D7E25B2"/>
    <w:multiLevelType w:val="hybridMultilevel"/>
    <w:tmpl w:val="B4106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374D2C"/>
    <w:multiLevelType w:val="hybridMultilevel"/>
    <w:tmpl w:val="8C5E7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C75684"/>
    <w:multiLevelType w:val="hybridMultilevel"/>
    <w:tmpl w:val="86F29AF0"/>
    <w:lvl w:ilvl="0" w:tplc="E34C9DAE">
      <w:start w:val="1"/>
      <w:numFmt w:val="decimal"/>
      <w:lvlText w:val="%1."/>
      <w:lvlJc w:val="left"/>
      <w:pPr>
        <w:ind w:left="786" w:hanging="360"/>
      </w:pPr>
      <w:rPr>
        <w:rFonts w:ascii="Arial" w:eastAsia="Times New Roman" w:hAnsi="Arial" w:cs="Arial"/>
        <w:b w:val="0"/>
        <w:bCs/>
        <w:i w:val="0"/>
        <w:iCs/>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F426F6"/>
    <w:multiLevelType w:val="hybridMultilevel"/>
    <w:tmpl w:val="E466D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7770615">
    <w:abstractNumId w:val="0"/>
  </w:num>
  <w:num w:numId="2" w16cid:durableId="1420836378">
    <w:abstractNumId w:val="3"/>
  </w:num>
  <w:num w:numId="3" w16cid:durableId="776607021">
    <w:abstractNumId w:val="2"/>
  </w:num>
  <w:num w:numId="4" w16cid:durableId="951983473">
    <w:abstractNumId w:val="6"/>
  </w:num>
  <w:num w:numId="5" w16cid:durableId="1683438645">
    <w:abstractNumId w:val="5"/>
  </w:num>
  <w:num w:numId="6" w16cid:durableId="118837546">
    <w:abstractNumId w:val="1"/>
  </w:num>
  <w:num w:numId="7" w16cid:durableId="865750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FC"/>
    <w:rsid w:val="00001485"/>
    <w:rsid w:val="00015D83"/>
    <w:rsid w:val="000302E2"/>
    <w:rsid w:val="00050392"/>
    <w:rsid w:val="000930EA"/>
    <w:rsid w:val="000F6BA4"/>
    <w:rsid w:val="001152F9"/>
    <w:rsid w:val="00132CF6"/>
    <w:rsid w:val="00133C6E"/>
    <w:rsid w:val="00191776"/>
    <w:rsid w:val="001A03CE"/>
    <w:rsid w:val="001B41B1"/>
    <w:rsid w:val="001C7E51"/>
    <w:rsid w:val="00205828"/>
    <w:rsid w:val="00255AD2"/>
    <w:rsid w:val="002B6A53"/>
    <w:rsid w:val="00305905"/>
    <w:rsid w:val="00317159"/>
    <w:rsid w:val="003175F2"/>
    <w:rsid w:val="00333391"/>
    <w:rsid w:val="00345B32"/>
    <w:rsid w:val="00356085"/>
    <w:rsid w:val="003625C5"/>
    <w:rsid w:val="003954E1"/>
    <w:rsid w:val="003A4F00"/>
    <w:rsid w:val="003F0C1D"/>
    <w:rsid w:val="003F4941"/>
    <w:rsid w:val="004A2E68"/>
    <w:rsid w:val="004A3B7D"/>
    <w:rsid w:val="004C7755"/>
    <w:rsid w:val="004F0990"/>
    <w:rsid w:val="004F56D2"/>
    <w:rsid w:val="00524C37"/>
    <w:rsid w:val="0057043B"/>
    <w:rsid w:val="0057043D"/>
    <w:rsid w:val="00576A91"/>
    <w:rsid w:val="005A258A"/>
    <w:rsid w:val="005C11C6"/>
    <w:rsid w:val="005E3801"/>
    <w:rsid w:val="00600B23"/>
    <w:rsid w:val="00653AB3"/>
    <w:rsid w:val="00676EC7"/>
    <w:rsid w:val="00686BE5"/>
    <w:rsid w:val="006C50E3"/>
    <w:rsid w:val="007238D2"/>
    <w:rsid w:val="00765DB4"/>
    <w:rsid w:val="00772AEB"/>
    <w:rsid w:val="007F1263"/>
    <w:rsid w:val="00821AE5"/>
    <w:rsid w:val="00847D58"/>
    <w:rsid w:val="00863B11"/>
    <w:rsid w:val="00884E50"/>
    <w:rsid w:val="008958CC"/>
    <w:rsid w:val="00964E90"/>
    <w:rsid w:val="00981C49"/>
    <w:rsid w:val="0099417C"/>
    <w:rsid w:val="00994340"/>
    <w:rsid w:val="00994B95"/>
    <w:rsid w:val="009A40DB"/>
    <w:rsid w:val="009B39EF"/>
    <w:rsid w:val="009C4846"/>
    <w:rsid w:val="009D0725"/>
    <w:rsid w:val="009D0CAD"/>
    <w:rsid w:val="009E1E1A"/>
    <w:rsid w:val="00A00173"/>
    <w:rsid w:val="00A91A17"/>
    <w:rsid w:val="00B419E5"/>
    <w:rsid w:val="00B47649"/>
    <w:rsid w:val="00BC052D"/>
    <w:rsid w:val="00C1063B"/>
    <w:rsid w:val="00C70D2C"/>
    <w:rsid w:val="00C738A5"/>
    <w:rsid w:val="00CF3B2E"/>
    <w:rsid w:val="00D034AC"/>
    <w:rsid w:val="00D17031"/>
    <w:rsid w:val="00D344ED"/>
    <w:rsid w:val="00D62144"/>
    <w:rsid w:val="00D802C7"/>
    <w:rsid w:val="00D805FB"/>
    <w:rsid w:val="00E03D08"/>
    <w:rsid w:val="00E206E2"/>
    <w:rsid w:val="00E37673"/>
    <w:rsid w:val="00E37F03"/>
    <w:rsid w:val="00E47F42"/>
    <w:rsid w:val="00E7186E"/>
    <w:rsid w:val="00EB1099"/>
    <w:rsid w:val="00F107BD"/>
    <w:rsid w:val="00F957FC"/>
    <w:rsid w:val="03AB39B1"/>
    <w:rsid w:val="1B75DB01"/>
    <w:rsid w:val="2CD5B3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0624"/>
  <w15:chartTrackingRefBased/>
  <w15:docId w15:val="{C99A154C-1640-44D8-A1E1-C504E3B8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FC"/>
  </w:style>
  <w:style w:type="paragraph" w:styleId="Ttulo1">
    <w:name w:val="heading 1"/>
    <w:basedOn w:val="Normal"/>
    <w:next w:val="Normal"/>
    <w:link w:val="Ttulo1Car"/>
    <w:uiPriority w:val="9"/>
    <w:qFormat/>
    <w:rsid w:val="00F95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5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57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57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57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57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57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57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57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57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57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57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57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57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57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57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57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57FC"/>
    <w:rPr>
      <w:rFonts w:eastAsiaTheme="majorEastAsia" w:cstheme="majorBidi"/>
      <w:color w:val="272727" w:themeColor="text1" w:themeTint="D8"/>
    </w:rPr>
  </w:style>
  <w:style w:type="paragraph" w:styleId="Ttulo">
    <w:name w:val="Title"/>
    <w:basedOn w:val="Normal"/>
    <w:next w:val="Normal"/>
    <w:link w:val="TtuloCar"/>
    <w:uiPriority w:val="10"/>
    <w:qFormat/>
    <w:rsid w:val="00F95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57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57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57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57FC"/>
    <w:pPr>
      <w:spacing w:before="160"/>
      <w:jc w:val="center"/>
    </w:pPr>
    <w:rPr>
      <w:i/>
      <w:iCs/>
      <w:color w:val="404040" w:themeColor="text1" w:themeTint="BF"/>
    </w:rPr>
  </w:style>
  <w:style w:type="character" w:customStyle="1" w:styleId="CitaCar">
    <w:name w:val="Cita Car"/>
    <w:basedOn w:val="Fuentedeprrafopredeter"/>
    <w:link w:val="Cita"/>
    <w:uiPriority w:val="29"/>
    <w:rsid w:val="00F957FC"/>
    <w:rPr>
      <w:i/>
      <w:iCs/>
      <w:color w:val="404040" w:themeColor="text1" w:themeTint="BF"/>
    </w:rPr>
  </w:style>
  <w:style w:type="paragraph" w:styleId="Prrafodelista">
    <w:name w:val="List Paragraph"/>
    <w:aliases w:val="Cita texto,Footnote,List Paragraph1,Colorful List - Accent 11,TEXTO GENERAL SENTENCIAS,Cuadrícula clara - Énfasis 31,Párrafo de lista2,PARRAFO,Trascripción,Cuadrícula media 1 - Énfasis 21,Lista multicolor - Énfasis 11,Dot pt,No Spacing1"/>
    <w:basedOn w:val="Normal"/>
    <w:link w:val="PrrafodelistaCar"/>
    <w:uiPriority w:val="34"/>
    <w:qFormat/>
    <w:rsid w:val="00F957FC"/>
    <w:pPr>
      <w:ind w:left="720"/>
      <w:contextualSpacing/>
    </w:pPr>
  </w:style>
  <w:style w:type="character" w:styleId="nfasisintenso">
    <w:name w:val="Intense Emphasis"/>
    <w:basedOn w:val="Fuentedeprrafopredeter"/>
    <w:uiPriority w:val="21"/>
    <w:qFormat/>
    <w:rsid w:val="00F957FC"/>
    <w:rPr>
      <w:i/>
      <w:iCs/>
      <w:color w:val="0F4761" w:themeColor="accent1" w:themeShade="BF"/>
    </w:rPr>
  </w:style>
  <w:style w:type="paragraph" w:styleId="Citadestacada">
    <w:name w:val="Intense Quote"/>
    <w:basedOn w:val="Normal"/>
    <w:next w:val="Normal"/>
    <w:link w:val="CitadestacadaCar"/>
    <w:uiPriority w:val="30"/>
    <w:qFormat/>
    <w:rsid w:val="00F95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57FC"/>
    <w:rPr>
      <w:i/>
      <w:iCs/>
      <w:color w:val="0F4761" w:themeColor="accent1" w:themeShade="BF"/>
    </w:rPr>
  </w:style>
  <w:style w:type="character" w:styleId="Referenciaintensa">
    <w:name w:val="Intense Reference"/>
    <w:basedOn w:val="Fuentedeprrafopredeter"/>
    <w:uiPriority w:val="32"/>
    <w:qFormat/>
    <w:rsid w:val="00F957FC"/>
    <w:rPr>
      <w:b/>
      <w:bCs/>
      <w:smallCaps/>
      <w:color w:val="0F4761" w:themeColor="accent1" w:themeShade="BF"/>
      <w:spacing w:val="5"/>
    </w:rPr>
  </w:style>
  <w:style w:type="table" w:styleId="Tablaconcuadrcula">
    <w:name w:val="Table Grid"/>
    <w:basedOn w:val="Tablanormal"/>
    <w:uiPriority w:val="39"/>
    <w:rsid w:val="00F9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58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8CC"/>
  </w:style>
  <w:style w:type="paragraph" w:styleId="Piedepgina">
    <w:name w:val="footer"/>
    <w:basedOn w:val="Normal"/>
    <w:link w:val="PiedepginaCar"/>
    <w:uiPriority w:val="99"/>
    <w:unhideWhenUsed/>
    <w:rsid w:val="008958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8CC"/>
  </w:style>
  <w:style w:type="character" w:customStyle="1" w:styleId="PrrafodelistaCar">
    <w:name w:val="Párrafo de lista Car"/>
    <w:aliases w:val="Cita texto Car,Footnote Car,List Paragraph1 Car,Colorful List - Accent 11 Car,TEXTO GENERAL SENTENCIAS Car,Cuadrícula clara - Énfasis 31 Car,Párrafo de lista2 Car,PARRAFO Car,Trascripción Car,Cuadrícula media 1 - Énfasis 21 Car"/>
    <w:link w:val="Prrafodelista"/>
    <w:uiPriority w:val="34"/>
    <w:qFormat/>
    <w:rsid w:val="0099417C"/>
  </w:style>
  <w:style w:type="paragraph" w:customStyle="1" w:styleId="corte4fondo">
    <w:name w:val="corte4 fondo"/>
    <w:basedOn w:val="Normal"/>
    <w:link w:val="corte4fondoCar3"/>
    <w:qFormat/>
    <w:rsid w:val="00C1063B"/>
    <w:pPr>
      <w:spacing w:after="0" w:line="360" w:lineRule="auto"/>
      <w:ind w:firstLine="709"/>
      <w:jc w:val="both"/>
    </w:pPr>
    <w:rPr>
      <w:rFonts w:ascii="Arial" w:eastAsia="Times New Roman" w:hAnsi="Arial" w:cs="Times New Roman"/>
      <w:kern w:val="0"/>
      <w:sz w:val="30"/>
      <w:szCs w:val="20"/>
      <w:lang w:val="es-ES_tradnl" w:eastAsia="es-MX"/>
      <w14:ligatures w14:val="none"/>
    </w:rPr>
  </w:style>
  <w:style w:type="character" w:customStyle="1" w:styleId="corte4fondoCar3">
    <w:name w:val="corte4 fondo Car3"/>
    <w:link w:val="corte4fondo"/>
    <w:locked/>
    <w:rsid w:val="00C1063B"/>
    <w:rPr>
      <w:rFonts w:ascii="Arial" w:eastAsia="Times New Roman" w:hAnsi="Arial" w:cs="Times New Roman"/>
      <w:kern w:val="0"/>
      <w:sz w:val="30"/>
      <w:szCs w:val="20"/>
      <w:lang w:val="es-ES_tradnl" w:eastAsia="es-MX"/>
      <w14:ligatures w14:val="none"/>
    </w:rPr>
  </w:style>
  <w:style w:type="character" w:customStyle="1" w:styleId="corte4fondoCar1">
    <w:name w:val="corte4 fondo Car1"/>
    <w:rsid w:val="000F6BA4"/>
    <w:rPr>
      <w:rFonts w:ascii="Arial" w:eastAsia="Times New Roman" w:hAnsi="Arial"/>
      <w:sz w:val="30"/>
      <w:lang w:eastAsia="es-ES"/>
    </w:rPr>
  </w:style>
  <w:style w:type="character" w:styleId="Hipervnculo">
    <w:name w:val="Hyperlink"/>
    <w:basedOn w:val="Fuentedeprrafopredeter"/>
    <w:uiPriority w:val="99"/>
    <w:semiHidden/>
    <w:unhideWhenUsed/>
    <w:rsid w:val="00723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b.mx/cms/uploads/attachment/file/399324/Ley_de_Amparo_Reglamentari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228B3552524F67BF513D9ABFA016F9"/>
        <w:category>
          <w:name w:val="General"/>
          <w:gallery w:val="placeholder"/>
        </w:category>
        <w:types>
          <w:type w:val="bbPlcHdr"/>
        </w:types>
        <w:behaviors>
          <w:behavior w:val="content"/>
        </w:behaviors>
        <w:guid w:val="{D4AEE919-AD58-4DA3-864D-BCFD5A9D0734}"/>
      </w:docPartPr>
      <w:docPartBody>
        <w:p w:rsidR="00D62144" w:rsidRDefault="00D62144" w:rsidP="00D62144">
          <w:pPr>
            <w:pStyle w:val="5C228B3552524F67BF513D9ABFA016F9"/>
          </w:pPr>
          <w:r w:rsidRPr="00254BEB">
            <w:rPr>
              <w:rStyle w:val="Textodelmarcadordeposicin"/>
            </w:rPr>
            <w:t>Choose an item.</w:t>
          </w:r>
        </w:p>
      </w:docPartBody>
    </w:docPart>
    <w:docPart>
      <w:docPartPr>
        <w:name w:val="1BE2AC717F954F03B05A2A95EAE3DA0D"/>
        <w:category>
          <w:name w:val="General"/>
          <w:gallery w:val="placeholder"/>
        </w:category>
        <w:types>
          <w:type w:val="bbPlcHdr"/>
        </w:types>
        <w:behaviors>
          <w:behavior w:val="content"/>
        </w:behaviors>
        <w:guid w:val="{AAF78573-E1D2-46C3-B8DF-24DEC6B533B8}"/>
      </w:docPartPr>
      <w:docPartBody>
        <w:p w:rsidR="00730111" w:rsidRDefault="005C11C6" w:rsidP="005C11C6">
          <w:pPr>
            <w:pStyle w:val="1BE2AC717F954F03B05A2A95EAE3DA0D"/>
          </w:pPr>
          <w:r w:rsidRPr="00254BEB">
            <w:rPr>
              <w:rStyle w:val="Textodelmarcadordeposicin"/>
            </w:rPr>
            <w:t>Choose an item.</w:t>
          </w:r>
        </w:p>
      </w:docPartBody>
    </w:docPart>
    <w:docPart>
      <w:docPartPr>
        <w:name w:val="365E5ACD29DC4779BF2F865982EC4442"/>
        <w:category>
          <w:name w:val="General"/>
          <w:gallery w:val="placeholder"/>
        </w:category>
        <w:types>
          <w:type w:val="bbPlcHdr"/>
        </w:types>
        <w:behaviors>
          <w:behavior w:val="content"/>
        </w:behaviors>
        <w:guid w:val="{B5506B3B-DA06-48C3-9F6A-83AF5E9D4A0B}"/>
      </w:docPartPr>
      <w:docPartBody>
        <w:p w:rsidR="00730111" w:rsidRDefault="005C11C6" w:rsidP="005C11C6">
          <w:pPr>
            <w:pStyle w:val="365E5ACD29DC4779BF2F865982EC4442"/>
          </w:pPr>
          <w:r w:rsidRPr="00254BEB">
            <w:rPr>
              <w:rStyle w:val="Textodelmarcadordeposicin"/>
            </w:rPr>
            <w:t>Choose an item.</w:t>
          </w:r>
        </w:p>
      </w:docPartBody>
    </w:docPart>
    <w:docPart>
      <w:docPartPr>
        <w:name w:val="A2C9E9ADBD684FF081ACB195DE02C1B7"/>
        <w:category>
          <w:name w:val="General"/>
          <w:gallery w:val="placeholder"/>
        </w:category>
        <w:types>
          <w:type w:val="bbPlcHdr"/>
        </w:types>
        <w:behaviors>
          <w:behavior w:val="content"/>
        </w:behaviors>
        <w:guid w:val="{AA6D797E-E677-4DC5-B1A5-4076F9C97754}"/>
      </w:docPartPr>
      <w:docPartBody>
        <w:p w:rsidR="00730111" w:rsidRDefault="005C11C6" w:rsidP="005C11C6">
          <w:pPr>
            <w:pStyle w:val="A2C9E9ADBD684FF081ACB195DE02C1B7"/>
          </w:pPr>
          <w:r w:rsidRPr="00254BEB">
            <w:rPr>
              <w:rStyle w:val="Textodelmarcadordeposicin"/>
            </w:rPr>
            <w:t>Choose an item.</w:t>
          </w:r>
        </w:p>
      </w:docPartBody>
    </w:docPart>
    <w:docPart>
      <w:docPartPr>
        <w:name w:val="6CF261184387470BB4DA0B97BAE82DAD"/>
        <w:category>
          <w:name w:val="General"/>
          <w:gallery w:val="placeholder"/>
        </w:category>
        <w:types>
          <w:type w:val="bbPlcHdr"/>
        </w:types>
        <w:behaviors>
          <w:behavior w:val="content"/>
        </w:behaviors>
        <w:guid w:val="{7CE91770-B0D6-4A77-A1EA-379DC4F90BC4}"/>
      </w:docPartPr>
      <w:docPartBody>
        <w:p w:rsidR="0006115E" w:rsidRDefault="00765DB4" w:rsidP="00765DB4">
          <w:pPr>
            <w:pStyle w:val="6CF261184387470BB4DA0B97BAE82DAD"/>
          </w:pPr>
          <w:r w:rsidRPr="00254BEB">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44"/>
    <w:rsid w:val="000302E2"/>
    <w:rsid w:val="0006115E"/>
    <w:rsid w:val="000A3835"/>
    <w:rsid w:val="00117D1F"/>
    <w:rsid w:val="001912D9"/>
    <w:rsid w:val="001A03CE"/>
    <w:rsid w:val="001D5BA7"/>
    <w:rsid w:val="0020208C"/>
    <w:rsid w:val="00305CFC"/>
    <w:rsid w:val="003F0C1D"/>
    <w:rsid w:val="005C11C6"/>
    <w:rsid w:val="005E3801"/>
    <w:rsid w:val="0066758B"/>
    <w:rsid w:val="00730111"/>
    <w:rsid w:val="00752A97"/>
    <w:rsid w:val="007634C5"/>
    <w:rsid w:val="00765DB4"/>
    <w:rsid w:val="007B0799"/>
    <w:rsid w:val="00994340"/>
    <w:rsid w:val="009C4846"/>
    <w:rsid w:val="00A00173"/>
    <w:rsid w:val="00A6054E"/>
    <w:rsid w:val="00BC1602"/>
    <w:rsid w:val="00BF7031"/>
    <w:rsid w:val="00C27DB7"/>
    <w:rsid w:val="00C70D2C"/>
    <w:rsid w:val="00D62144"/>
    <w:rsid w:val="00E047C3"/>
    <w:rsid w:val="00E37673"/>
    <w:rsid w:val="00ED321A"/>
    <w:rsid w:val="00F107BD"/>
    <w:rsid w:val="00F9625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A" w:eastAsia="es-P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5DB4"/>
    <w:rPr>
      <w:color w:val="666666"/>
    </w:rPr>
  </w:style>
  <w:style w:type="paragraph" w:customStyle="1" w:styleId="5C228B3552524F67BF513D9ABFA016F9">
    <w:name w:val="5C228B3552524F67BF513D9ABFA016F9"/>
    <w:rsid w:val="00D62144"/>
  </w:style>
  <w:style w:type="paragraph" w:customStyle="1" w:styleId="1BE2AC717F954F03B05A2A95EAE3DA0D">
    <w:name w:val="1BE2AC717F954F03B05A2A95EAE3DA0D"/>
    <w:rsid w:val="005C11C6"/>
    <w:pPr>
      <w:spacing w:line="259" w:lineRule="auto"/>
    </w:pPr>
    <w:rPr>
      <w:kern w:val="0"/>
      <w:sz w:val="22"/>
      <w:szCs w:val="22"/>
      <w:lang w:val="es-MX" w:eastAsia="es-MX"/>
      <w14:ligatures w14:val="none"/>
    </w:rPr>
  </w:style>
  <w:style w:type="paragraph" w:customStyle="1" w:styleId="365E5ACD29DC4779BF2F865982EC4442">
    <w:name w:val="365E5ACD29DC4779BF2F865982EC4442"/>
    <w:rsid w:val="005C11C6"/>
    <w:pPr>
      <w:spacing w:line="259" w:lineRule="auto"/>
    </w:pPr>
    <w:rPr>
      <w:kern w:val="0"/>
      <w:sz w:val="22"/>
      <w:szCs w:val="22"/>
      <w:lang w:val="es-MX" w:eastAsia="es-MX"/>
      <w14:ligatures w14:val="none"/>
    </w:rPr>
  </w:style>
  <w:style w:type="paragraph" w:customStyle="1" w:styleId="A2C9E9ADBD684FF081ACB195DE02C1B7">
    <w:name w:val="A2C9E9ADBD684FF081ACB195DE02C1B7"/>
    <w:rsid w:val="005C11C6"/>
    <w:pPr>
      <w:spacing w:line="259" w:lineRule="auto"/>
    </w:pPr>
    <w:rPr>
      <w:kern w:val="0"/>
      <w:sz w:val="22"/>
      <w:szCs w:val="22"/>
      <w:lang w:val="es-MX" w:eastAsia="es-MX"/>
      <w14:ligatures w14:val="none"/>
    </w:rPr>
  </w:style>
  <w:style w:type="paragraph" w:customStyle="1" w:styleId="6CF261184387470BB4DA0B97BAE82DAD">
    <w:name w:val="6CF261184387470BB4DA0B97BAE82DAD"/>
    <w:rsid w:val="00765DB4"/>
    <w:pPr>
      <w:spacing w:line="259" w:lineRule="auto"/>
    </w:pPr>
    <w:rPr>
      <w:kern w:val="0"/>
      <w:sz w:val="22"/>
      <w:szCs w:val="22"/>
      <w:lang w:val="es-MX" w:eastAsia="es-MX"/>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AYDW7MS43XSZ-237423774-500556</_dlc_DocId>
    <_dlc_DocIdUrl xmlns="69ffee90-265c-465f-a70b-47d3979e4ae6">
      <Url>https://ciatorg.sharepoint.com/sites/cds/_layouts/15/DocIdRedir.aspx?ID=AYDW7MS43XSZ-237423774-500556</Url>
      <Description>AYDW7MS43XSZ-237423774-500556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a0ba4e34e1e4a5495a8c99fbdd0d9efa">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cbee07f6a80cc36965434bfe01716994"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65DFCA-AE54-4064-9CEE-6BB6B8436FD7}">
  <ds:schemaRefs>
    <ds:schemaRef ds:uri="http://schemas.microsoft.com/office/2006/metadata/properties"/>
    <ds:schemaRef ds:uri="http://schemas.microsoft.com/office/infopath/2007/PartnerControls"/>
    <ds:schemaRef ds:uri="http://schemas.microsoft.com/sharepoint/v3"/>
    <ds:schemaRef ds:uri="68a160cd-ed63-4a95-bc0c-59b4fccbeab8"/>
    <ds:schemaRef ds:uri="69ffee90-265c-465f-a70b-47d3979e4ae6"/>
  </ds:schemaRefs>
</ds:datastoreItem>
</file>

<file path=customXml/itemProps2.xml><?xml version="1.0" encoding="utf-8"?>
<ds:datastoreItem xmlns:ds="http://schemas.openxmlformats.org/officeDocument/2006/customXml" ds:itemID="{C8E17633-B2F0-471C-AA94-836B40C1BA97}">
  <ds:schemaRefs>
    <ds:schemaRef ds:uri="http://schemas.microsoft.com/sharepoint/v3/contenttype/forms"/>
  </ds:schemaRefs>
</ds:datastoreItem>
</file>

<file path=customXml/itemProps3.xml><?xml version="1.0" encoding="utf-8"?>
<ds:datastoreItem xmlns:ds="http://schemas.openxmlformats.org/officeDocument/2006/customXml" ds:itemID="{29D054E6-0A61-4E78-9800-437B55C29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ffee90-265c-465f-a70b-47d3979e4ae6"/>
    <ds:schemaRef ds:uri="68a160cd-ed63-4a95-bc0c-59b4fccbe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E4EDF-395A-4119-9C4A-DAEBCFB556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903</Words>
  <Characters>5696</Characters>
  <Application>Microsoft Office Word</Application>
  <DocSecurity>0</DocSecurity>
  <Lines>158</Lines>
  <Paragraphs>153</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Reyes</dc:creator>
  <cp:keywords/>
  <dc:description/>
  <cp:lastModifiedBy>Victor Vargas</cp:lastModifiedBy>
  <cp:revision>22</cp:revision>
  <dcterms:created xsi:type="dcterms:W3CDTF">2024-11-21T23:16:00Z</dcterms:created>
  <dcterms:modified xsi:type="dcterms:W3CDTF">2026-02-26T18:38:00Z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66ed3ef5-fabf-4962-86b7-14c89733a2fb</vt:lpwstr>
  </property>
  <property fmtid="{D5CDD505-2E9C-101B-9397-08002B2CF9AE}" pid="4" name="MediaServiceImageTags">
    <vt:lpwstr/>
  </property>
</Properties>
</file>